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6" w:before="1" w:after="0"/>
        <w:ind w:right="17"/>
        <w:jc w:val="center"/>
        <w:rPr>
          <w:b/>
          <w:bCs/>
          <w:sz w:val="40"/>
          <w:szCs w:val="40"/>
          <w:lang w:val="en-ID"/>
        </w:rPr>
      </w:pPr>
      <w:r>
        <w:rPr>
          <w:b/>
          <w:bCs/>
          <w:sz w:val="40"/>
          <w:szCs w:val="40"/>
          <w:lang w:val="en-ID"/>
        </w:rPr>
        <w:t>Long-term results of oncological endoprosthetics of the ankle joint: multicenter study</w:t>
      </w:r>
    </w:p>
    <w:p>
      <w:pPr>
        <w:pStyle w:val="BodyText"/>
        <w:spacing w:lineRule="auto" w:line="276" w:before="1" w:after="0"/>
        <w:ind w:right="17"/>
        <w:jc w:val="center"/>
        <w:rPr>
          <w:bCs/>
        </w:rPr>
      </w:pPr>
      <w:r>
        <w:rPr>
          <w:bCs/>
        </w:rPr>
      </w:r>
    </w:p>
    <w:p>
      <w:pPr>
        <w:pStyle w:val="BodyText"/>
        <w:spacing w:lineRule="auto" w:line="276" w:before="1" w:after="0"/>
        <w:ind w:right="17"/>
        <w:jc w:val="center"/>
        <w:rPr>
          <w:bCs/>
        </w:rPr>
      </w:pPr>
      <w:r>
        <w:rPr>
          <w:bCs/>
        </w:rPr>
        <w:t>A.V. Sokolovskii</w:t>
      </w:r>
      <w:r>
        <w:rPr>
          <w:bCs/>
          <w:vertAlign w:val="superscript"/>
        </w:rPr>
        <w:t>1</w:t>
      </w:r>
      <w:r>
        <w:rPr>
          <w:bCs/>
        </w:rPr>
        <w:t>, A.A. Kurilchik</w:t>
      </w:r>
      <w:r>
        <w:rPr>
          <w:bCs/>
          <w:vertAlign w:val="superscript"/>
        </w:rPr>
        <w:t>2</w:t>
      </w:r>
      <w:r>
        <w:rPr>
          <w:bCs/>
        </w:rPr>
        <w:t>, V.E. Ivanov</w:t>
      </w:r>
      <w:r>
        <w:rPr>
          <w:bCs/>
          <w:vertAlign w:val="superscript"/>
        </w:rPr>
        <w:t>2</w:t>
      </w:r>
      <w:r>
        <w:rPr>
          <w:bCs/>
        </w:rPr>
        <w:t>, V.A. Sokolovskii</w:t>
      </w:r>
      <w:r>
        <w:rPr>
          <w:bCs/>
          <w:vertAlign w:val="superscript"/>
        </w:rPr>
        <w:t>1</w:t>
      </w:r>
      <w:r>
        <w:rPr>
          <w:bCs/>
        </w:rPr>
        <w:t>, M.K. Zavalishina</w:t>
      </w:r>
      <w:r>
        <w:rPr>
          <w:bCs/>
          <w:vertAlign w:val="superscript"/>
        </w:rPr>
        <w:t>2</w:t>
      </w:r>
    </w:p>
    <w:p>
      <w:pPr>
        <w:pStyle w:val="BodyText"/>
        <w:spacing w:lineRule="auto" w:line="276" w:before="1" w:after="0"/>
        <w:ind w:right="17"/>
        <w:jc w:val="center"/>
        <w:rPr>
          <w:bCs/>
        </w:rPr>
      </w:pPr>
      <w:r>
        <w:rPr>
          <w:bCs/>
        </w:rPr>
      </w:r>
    </w:p>
    <w:p>
      <w:pPr>
        <w:pStyle w:val="BodyText"/>
        <w:spacing w:lineRule="auto" w:line="276" w:before="1" w:after="0"/>
        <w:ind w:right="17"/>
        <w:jc w:val="center"/>
        <w:rPr>
          <w:bCs/>
        </w:rPr>
      </w:pPr>
      <w:r>
        <w:rPr>
          <w:bCs/>
        </w:rPr>
        <w:t>N.N. Blokhin National Medical Research Center of Oncology, Ministry of Health of Russia; 24 Kashirskoe Shosse, Moscow 115522, Russia</w:t>
      </w:r>
      <w:r>
        <w:rPr>
          <w:bCs/>
          <w:vertAlign w:val="superscript"/>
        </w:rPr>
        <w:t>1</w:t>
      </w:r>
    </w:p>
    <w:p>
      <w:pPr>
        <w:pStyle w:val="BodyText"/>
        <w:spacing w:lineRule="auto" w:line="276" w:before="1" w:after="0"/>
        <w:ind w:right="17"/>
        <w:jc w:val="center"/>
        <w:rPr>
          <w:bCs/>
        </w:rPr>
      </w:pPr>
      <w:r>
        <w:drawing>
          <wp:anchor behindDoc="0" distT="0" distB="0" distL="0" distR="0" simplePos="0" locked="0" layoutInCell="0" allowOverlap="1" relativeHeight="13">
            <wp:simplePos x="0" y="0"/>
            <wp:positionH relativeFrom="margin">
              <wp:posOffset>5560695</wp:posOffset>
            </wp:positionH>
            <wp:positionV relativeFrom="paragraph">
              <wp:posOffset>302260</wp:posOffset>
            </wp:positionV>
            <wp:extent cx="346710" cy="344170"/>
            <wp:effectExtent l="0" t="0" r="0" b="0"/>
            <wp:wrapNone/>
            <wp:docPr id="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descr=""/>
                    <pic:cNvPicPr>
                      <a:picLocks noChangeAspect="1" noChangeArrowheads="1"/>
                    </pic:cNvPicPr>
                  </pic:nvPicPr>
                  <pic:blipFill>
                    <a:blip r:embed="rId2"/>
                    <a:stretch>
                      <a:fillRect/>
                    </a:stretch>
                  </pic:blipFill>
                  <pic:spPr bwMode="auto">
                    <a:xfrm>
                      <a:off x="0" y="0"/>
                      <a:ext cx="346710" cy="344170"/>
                    </a:xfrm>
                    <a:prstGeom prst="rect">
                      <a:avLst/>
                    </a:prstGeom>
                  </pic:spPr>
                </pic:pic>
              </a:graphicData>
            </a:graphic>
          </wp:anchor>
        </w:drawing>
      </w:r>
      <w:r>
        <w:rPr>
          <w:bCs/>
        </w:rPr>
        <w:t>A. Tsyb Medical Radiological Research Center – branch of the National Medical Research Radiological Center, Ministry of Health of Russia; 4 Koroleva St., Obninsk 249036, Russia</w:t>
      </w:r>
      <w:r>
        <w:rPr>
          <w:bCs/>
          <w:vertAlign w:val="superscript"/>
        </w:rPr>
        <w:t>2</w:t>
      </w:r>
    </w:p>
    <w:p>
      <w:pPr>
        <w:pStyle w:val="BodyText"/>
        <w:spacing w:lineRule="auto" w:line="276" w:before="1" w:after="0"/>
        <w:ind w:right="17"/>
        <w:jc w:val="center"/>
        <w:rPr>
          <w:bCs/>
        </w:rPr>
      </w:pPr>
      <w:r>
        <w:rPr>
          <w:bCs/>
        </w:rPr>
      </w:r>
    </w:p>
    <w:p>
      <w:pPr>
        <w:pStyle w:val="BodyText"/>
        <w:spacing w:lineRule="auto" w:line="276" w:before="1" w:after="0"/>
        <w:ind w:right="17"/>
        <w:jc w:val="center"/>
        <w:rPr>
          <w:bCs/>
        </w:rPr>
      </w:pPr>
      <w:r>
        <w:rPr>
          <w:bCs/>
        </w:rPr>
      </w:r>
    </w:p>
    <w:p>
      <w:pPr>
        <w:pStyle w:val="Normal"/>
        <w:spacing w:lineRule="auto" w:line="276"/>
        <w:jc w:val="both"/>
        <w:rPr/>
      </w:pPr>
      <w:r>
        <w:rPr>
          <w:rFonts w:eastAsia="Calibri"/>
          <w:b/>
        </w:rPr>
        <w:t>ABSTRACT</w:t>
      </w:r>
      <w:r>
        <w:rPr/>
        <w:t>—</w:t>
        <w:tab/>
        <w:t xml:space="preserve"> The distal tibia and fibula are rare sites of involvement by primary and metastatic tumors. For a long time, amputation remained the standard surgical intervention for this location. Oncological ankle replacement is associated with a number of difficulties, including a lack of soft tissue necessary to cover the implant, close proximity of anatomical structures, a high probability of vascular and infectious complications, and difficulties in restoring the biomechanics of the lost joint. Currently, due to the small number of analyzed groups and short-term observations, there is no generalized data on primary and revision oncological ankle replacement, and there is no developed approach to treatment and prevention of complications. To generalize the analysis of long-term results, the structure of complications, and functional results in a group of patients after primary and revision oncological ankle replacement in a statistically significant group of patients. The study included 40 patients with benign bone tumors, primary localized sarcomas of bone and soft tissue, and metastatic lesions, which, since 2008, until 2023 56 primary and revision endoprosthetics of post- resection defect of the distal tibia were performed. Over a period of 15 years, the study group included 40 (71.4 %) surgeries in the scope of primary endoprosthetics and 16 (28.6 %) surgeries in the scope of revision oncological endo- prosthetics of the ankle joint. Over a 15-year follow-up period, the overall incidence of complications, structured according to the International Society of limb Salvage (ISOLS) 2013 classification, after primary and revision arthroplasty was 50 %. The aver- age time until detection of oncological and non-oncological complications was 16.1 months. The leading complication after endoprosthetics was aseptic instability (Type II; 21.4 %) and tumor recurrence (Type V) – 20 %. The average functional outcome after primary and revision ankle replacement was assessed using the MSTS scale and was 72 % after 6 months and ranged from 43 to 97 %. After 12 months, this figure was 78 % and ranged from 49 to 97 %. An objective assessment and increase in the statistical reliability of the results of oncological ankle re- placement requires a larger number of surgeries, a longer observation period and joint consolidation of data from various clinics. Development of indications for such reconstructive operations, careful selection of patients taking into ac- count the effect of conservative treatment allows to reduce the total number of complications, the number of local re- lapses and achieve a good functional result.</w:t>
      </w:r>
    </w:p>
    <w:p>
      <w:pPr>
        <w:pStyle w:val="Normal"/>
        <w:spacing w:lineRule="auto" w:line="276"/>
        <w:jc w:val="both"/>
        <w:rPr>
          <w:rFonts w:eastAsia="Calibri"/>
          <w:color w:val="1C1D1E"/>
          <w:shd w:fill="FFFFFF" w:val="clear"/>
          <w:lang w:val="en-ID"/>
        </w:rPr>
      </w:pPr>
      <w:r>
        <w:rPr>
          <w:rFonts w:eastAsia="Calibri"/>
          <w:color w:val="1C1D1E"/>
          <w:shd w:fill="FFFFFF" w:val="clear"/>
          <w:lang w:val="en-ID"/>
        </w:rPr>
      </w:r>
    </w:p>
    <w:p>
      <w:pPr>
        <w:pStyle w:val="Normal"/>
        <w:spacing w:lineRule="auto" w:line="276" w:before="1" w:after="0"/>
        <w:ind w:right="42"/>
        <w:jc w:val="both"/>
        <w:rPr>
          <w:lang w:val="id-ID"/>
        </w:rPr>
      </w:pPr>
      <w:r>
        <w:rPr>
          <w:rFonts w:eastAsia="Calibri" w:cs="" w:asciiTheme="majorBidi" w:cstheme="majorBidi" w:hAnsiTheme="majorBidi"/>
          <w:b/>
        </w:rPr>
        <w:t xml:space="preserve">KEYWORDS: </w:t>
      </w:r>
      <w:r>
        <w:rPr>
          <w:lang w:val="id-ID"/>
        </w:rPr>
        <w:t>bone tumor, sarcoma, ankle joint, primary endoprosthetics, revision endoprosthetics, complications of endo- prosthesis replacement, individual endoprosthetics, endoprosthetics complications</w:t>
      </w:r>
    </w:p>
    <w:p>
      <w:pPr>
        <w:pStyle w:val="Normal"/>
        <w:spacing w:lineRule="auto" w:line="276" w:before="1" w:after="0"/>
        <w:ind w:right="42"/>
        <w:jc w:val="both"/>
        <w:rPr>
          <w:rFonts w:eastAsia="Calibri"/>
        </w:rPr>
      </w:pPr>
      <w:r>
        <w:rPr>
          <w:rFonts w:eastAsia="Calibri"/>
        </w:rPr>
      </w:r>
    </w:p>
    <w:p>
      <w:pPr>
        <w:pStyle w:val="Normal"/>
        <w:spacing w:lineRule="auto" w:line="276"/>
        <w:jc w:val="both"/>
        <w:rPr>
          <w:rFonts w:eastAsia="Calibri"/>
          <w:b/>
        </w:rPr>
      </w:pPr>
      <w:r>
        <w:rPr>
          <w:rFonts w:eastAsia="Calibri"/>
          <w:b/>
        </w:rPr>
        <w:t>1. Introduction</w:t>
      </w:r>
    </w:p>
    <w:p>
      <w:pPr>
        <w:pStyle w:val="Normal"/>
        <w:spacing w:lineRule="auto" w:line="276"/>
        <w:jc w:val="both"/>
        <w:rPr>
          <w:rFonts w:eastAsia="Calibri"/>
        </w:rPr>
      </w:pPr>
      <w:r>
        <w:rPr>
          <w:rFonts w:eastAsia="Calibri"/>
        </w:rPr>
        <w:t>The distal tibia and fibula are a rare location for primary and metastatic tumors. For a long time, the standard surgical intervention for this location was amputation. The development of a conservative approach to the combined treatment of primary and metastatic tumors, progress in surgical techniques and biomedical engineering have made it possible to perform organ-preserving surgeries on most patients. The choice of a method for reconstructing the lower limb after resection of the distal tibia remains controversial. Autografting of the fibula with a vascular pedicle or without a vascular component, as well as allografts, are traditionally used to replace the defect [1- 3]. However, despite all the advantages of these types of reconstruction, they have disadvantages, including component instability, dislocations, infectious complications, and a long rehabilitation period [4].</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In contrast to orthopedic endoprosthetics, the issues of oncological endoprosthetics of the ankle joint are insufficiently covered in the world literature. The limited data in world and Russian publications are due to the small number of endoprostheses performed in this area. Oncological endoprosthetics of the ankle joint are associated with a number of difficulties: a deficit of soft tissues necessary to cover the implant, close location of anatomical structures, a high probability of developing vascular and infectious complications, difficulties in restoring the biomechanics of the lost joint. At present, due to the small number of analyzed groups and the short-term observations, there are no generalized data on primary and repeated (revision) oncological endoprosthetics of this localization. Also, an approach to the treatment and prevention of complications of oncological endoprosthetics of the ankle joint has not been developed [5- 8].</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The aim of the study is a generalized analysis of long-term and functional results, as well as the structure of complications after primary and repeated oncological ankle arthroplasty in a statistically significant sample of patients.</w:t>
      </w:r>
    </w:p>
    <w:p>
      <w:pPr>
        <w:pStyle w:val="Normal"/>
        <w:spacing w:lineRule="auto" w:line="276"/>
        <w:jc w:val="both"/>
        <w:rPr>
          <w:rFonts w:eastAsia="Calibri"/>
        </w:rPr>
      </w:pPr>
      <w:r>
        <w:rPr>
          <w:rFonts w:eastAsia="Calibri"/>
        </w:rPr>
      </w:r>
    </w:p>
    <w:p>
      <w:pPr>
        <w:pStyle w:val="Normal"/>
        <w:spacing w:lineRule="auto" w:line="276"/>
        <w:jc w:val="both"/>
        <w:rPr>
          <w:rFonts w:eastAsia="Calibri"/>
          <w:b/>
        </w:rPr>
      </w:pPr>
      <w:r>
        <w:rPr>
          <w:rFonts w:eastAsia="Calibri"/>
          <w:b/>
        </w:rPr>
        <w:t>2. Materials and methods</w:t>
      </w:r>
    </w:p>
    <w:p>
      <w:pPr>
        <w:pStyle w:val="Normal"/>
        <w:spacing w:lineRule="auto" w:line="276"/>
        <w:jc w:val="both"/>
        <w:rPr>
          <w:rFonts w:eastAsia="Calibri"/>
        </w:rPr>
      </w:pPr>
      <w:r>
        <w:rPr>
          <w:rFonts w:eastAsia="Calibri"/>
        </w:rPr>
        <w:t>A multicenter study was conducted at the General Oncology Department of the N.N. Blokhin National Medical Research Center of Oncology and the Department of Combined Treatment of Bone, Soft Tissue and Skin Tumors of the A.F. Tsyb Medical Radiological Research Center, a branch of the National Medical Research Center of Radiology, during which significant clinical material was accumulated on the performance of primary and repeated organ-preserving surgeries with reconstruction of post-resection defects of the distal tibia with an oncological ankle joint endoprosthesis. The study included 40 patients with benign bone tumors, primarily localized bone and soft tissue sarcomas, and metastatic lesions, who underwent 56 primary and repeat endoprosthetic replacements of the post-resection defect of the distal tibia from 2008 to 2023. The study included 21 men and 20 women; the average age of the patients was 40 years and ranged from 19 to 72 years at the time of surgery. Primary malignant tumors were diagnosed in 26 patients (65%), and benign tumors in 14 patients (35%). Taking into account the local spread of the disease, the results of conservative treatment, and the oncological prognosis, the most optimal reconstruction for these patients was to replace the defect with an oncological endoprosthesis. Of 26 (65%) patients with primary malignant bone tumors, stage IB disease was diagnosed in 3 patients and stage IIB in 19 patients. In this cohort of patients, conservative treatment in the form of a block of neoadjuvant and adjuvant chemotherapy as a stage of combination therapy was performed in 84.6% (22/26) of patients with osteosarcoma, Ewing's sarcoma, undifferentiated pleomorphic sarcoma, periosteal sarcoma, dedifferentiated chondrosarcoma, epithelioid angiosarcoma, and leiomyosarcoma. Benign tumors are represented by one nosological unit - giant cell tumor. Four (28.6%) patients diagnosed with giant cell tumor underwent neoadjuvant targeted therapy with denosumab (ExGiva) according to the standard of care for this disease. The morbidity structure of patients included in the study is presented in Fig. 1. The study group included 40 (71.4%) primary surgeries and 16 (28.6%) repeat oncological ankle arthroplasty operations in patients with localized malignant and benign tumors of the distal tibia over a 15-year period.</w:t>
      </w:r>
    </w:p>
    <w:p>
      <w:pPr>
        <w:pStyle w:val="Normal"/>
        <w:spacing w:lineRule="auto" w:line="276"/>
        <w:jc w:val="both"/>
        <w:rPr>
          <w:rFonts w:eastAsia="Calibri"/>
        </w:rPr>
      </w:pPr>
      <w:r>
        <w:rPr>
          <w:rFonts w:eastAsia="Calibri"/>
        </w:rPr>
      </w:r>
    </w:p>
    <w:p>
      <w:pPr>
        <w:pStyle w:val="Normal"/>
        <w:spacing w:lineRule="auto" w:line="276"/>
        <w:jc w:val="both"/>
        <w:rPr>
          <w:rFonts w:eastAsia="Calibri"/>
          <w:b/>
        </w:rPr>
      </w:pPr>
      <w:r>
        <w:rPr>
          <w:rFonts w:eastAsia="Calibri"/>
          <w:b/>
        </w:rPr>
        <w:t>3. Discussion</w:t>
      </w:r>
    </w:p>
    <w:p>
      <w:pPr>
        <w:pStyle w:val="Normal"/>
        <w:spacing w:lineRule="auto" w:line="276"/>
        <w:jc w:val="both"/>
        <w:rPr>
          <w:rFonts w:eastAsia="Calibri"/>
        </w:rPr>
      </w:pPr>
      <w:r>
        <w:rPr>
          <w:rFonts w:eastAsia="Calibri"/>
        </w:rPr>
        <w:t>For a long time, amputation remained one of the standard surgical methods of treating patients with malignant bone tumors in the ankle joint. Until now, the choice of the method of lower limb reconstruction after resection of the distal tibia remains controversial. Options include the use of auto- and allografts, as well as arthrodesis of the joint. Reconstruction of the distal tibia with a vascularized or non-vascularized transplant is associated with the need for several operations to achieve arthrodesis, long periods of immobilization, and unpredictable results [9, 10]. Reconstruction with an allograft is characterized by long periods of rehabilitation, a high risk of disintegration, infection of the graft, and the occurrence of fractures. In contrast to the above-mentioned methods of reconstruction of post-resection defects, endoprosthetics provides the opportunity for early functional restoration and preservation of ankle joint mobility [11].</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In the study by [12], 8 patients with malignant tumors of the distal tibia underwent endoprosthetics. The median follow-up was 77 months. Relapse was observed in 3 patients. Infection developed in 1 patient, which led to repeated revision surgery. The average MSTS score was 66%.</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In the study by [7], 6 patients with primary malignant tumors of the distal tibia underwent ankle endoprosthetics. The average follow-up was 9.6 years. Two patients underwent amputation due to persistent infection. In 4 patients, the average MSTS score was 70%.</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[13] conducted a systematic review of 33 studies, which included 337 cases of treatment of tumors of the distal tibia. Organ-preserving operations, including biological reconstruction, were performed in 290 patients. In 165 cases (57%), an autograft was used, in 79 (26.8%) - an allograft, in 10 (3.4%) - distraction osteosynthesis, in 37 (12.8%) - endoprosthetics. Similarity of functional results according to the MSTS scale after biological reconstruction and endoprosthetics was revealed - 78.4 and 72.2%, respectively. An analysis of the results of published data and our study showed that the most frequent and main complications of ankle joint endoprosthetics are periprosthetic infection and local relapse, leading in most cases to limb amputation. The introduction of oncological endoprosthetics of the ankle joint into widespread clinical practice was hindered for a long time by difficulties in creating an optimal design of the endoprosthesis that could withstand significant multi-vector loads, ensure reliable fixation to bone segments and have a compact shape that allows it to be covered with local tissues after radical tumor resection [13- 15].</w:t>
      </w:r>
    </w:p>
    <w:p>
      <w:pPr>
        <w:pStyle w:val="Normal"/>
        <w:spacing w:lineRule="auto" w:line="276"/>
        <w:jc w:val="both"/>
        <w:rPr>
          <w:rFonts w:eastAsia="Calibri"/>
        </w:rPr>
      </w:pPr>
      <w:r>
        <w:rPr>
          <w:rFonts w:eastAsia="Calibri"/>
        </w:rPr>
      </w:r>
    </w:p>
    <w:p>
      <w:pPr>
        <w:pStyle w:val="Normal"/>
        <w:spacing w:lineRule="auto" w:line="276"/>
        <w:jc w:val="both"/>
        <w:rPr>
          <w:rFonts w:eastAsia="Calibri"/>
          <w:b/>
        </w:rPr>
      </w:pPr>
      <w:r>
        <w:rPr>
          <w:rFonts w:eastAsia="Calibri"/>
          <w:b/>
        </w:rPr>
        <w:t>4. Conclusion</w:t>
      </w:r>
    </w:p>
    <w:p>
      <w:pPr>
        <w:pStyle w:val="Normal"/>
        <w:spacing w:lineRule="auto" w:line="276"/>
        <w:jc w:val="both"/>
        <w:rPr>
          <w:rFonts w:eastAsia="Calibri"/>
        </w:rPr>
      </w:pPr>
      <w:r>
        <w:rPr>
          <w:rFonts w:eastAsia="Calibri"/>
        </w:rPr>
        <w:t>An analysis of the accumulated experience of various reconstructive surgeries in the ankle joint, as well as the immediate and remote functional results of each of them, shows that organ-preserving surgeries, including ankle joint endoprosthetics, are an alternative to amputation and allow maintaining high rehabilitation potential and functional status of patients. During the statistical analysis of data from the General Oncology Department of the Federal State Budgetary Institution “National Medical The N.N. Blokhin Oncology Research Center and the Department of Combined Treatment of Bone, Soft Tissue and Skin Tumors of the A.F. Tsyb Medical Radiological Research Center, a branch of the National Medical Radiology Research Center, have identified the most common complications of oncological ankle joint endoprosthetics over 15 years. The most common complication was endoprosthesis instability (21.4% of cases), with the incidence of early instability being almost twice as high as the incidence of late instability (in most cases, it is associated with impaired fixation of the talus). Tumor recurrence also occurs quite frequently (in 20% of cases). The incidence of recurrence in bones and soft tissues was the same. An analysis of the literature showed that the data obtained on complications of endoprosthetics in this area are consistent with the results of earlier publications. In our study, we developed the basic principles of oncological ankle arthroplasty that reduce the incidence of complications, including:</w:t>
      </w:r>
    </w:p>
    <w:p>
      <w:pPr>
        <w:pStyle w:val="Normal"/>
        <w:spacing w:lineRule="auto" w:line="276"/>
        <w:jc w:val="both"/>
        <w:rPr>
          <w:rFonts w:eastAsia="Calibri"/>
        </w:rPr>
      </w:pPr>
      <w:r>
        <w:rPr>
          <w:rFonts w:eastAsia="Calibri"/>
        </w:rPr>
        <w:t>- the effectiveness of neoadjuvant conservative treatment;</w:t>
      </w:r>
    </w:p>
    <w:p>
      <w:pPr>
        <w:pStyle w:val="Normal"/>
        <w:spacing w:lineRule="auto" w:line="276"/>
        <w:jc w:val="both"/>
        <w:rPr>
          <w:rFonts w:eastAsia="Calibri"/>
        </w:rPr>
      </w:pPr>
      <w:r>
        <w:rPr>
          <w:rFonts w:eastAsia="Calibri"/>
        </w:rPr>
        <w:t>- the possibility of radical tumor removal;</w:t>
      </w:r>
    </w:p>
    <w:p>
      <w:pPr>
        <w:pStyle w:val="Normal"/>
        <w:spacing w:lineRule="auto" w:line="276"/>
        <w:jc w:val="both"/>
        <w:rPr>
          <w:rFonts w:eastAsia="Calibri"/>
        </w:rPr>
      </w:pPr>
      <w:r>
        <w:rPr>
          <w:rFonts w:eastAsia="Calibri"/>
        </w:rPr>
        <w:t>- a sufficient amount of local tissue to cover the implant after tumor removal;</w:t>
      </w:r>
    </w:p>
    <w:p>
      <w:pPr>
        <w:pStyle w:val="Normal"/>
        <w:spacing w:lineRule="auto" w:line="276"/>
        <w:jc w:val="both"/>
        <w:rPr>
          <w:rFonts w:eastAsia="Calibri"/>
        </w:rPr>
      </w:pPr>
      <w:r>
        <w:rPr>
          <w:rFonts w:eastAsia="Calibri"/>
        </w:rPr>
        <w:t>- the choice of an endoprosthesis taking into account the optimal design and biomechanics of the joint;</w:t>
      </w:r>
    </w:p>
    <w:p>
      <w:pPr>
        <w:pStyle w:val="Normal"/>
        <w:spacing w:lineRule="auto" w:line="276"/>
        <w:jc w:val="both"/>
        <w:rPr>
          <w:rFonts w:eastAsia="Calibri"/>
        </w:rPr>
      </w:pPr>
      <w:r>
        <w:rPr>
          <w:rFonts w:eastAsia="Calibri"/>
        </w:rPr>
        <w:t>- the choice of an implant model with a high wear resistance potential;</w:t>
      </w:r>
    </w:p>
    <w:p>
      <w:pPr>
        <w:pStyle w:val="Normal"/>
        <w:spacing w:lineRule="auto" w:line="276"/>
        <w:jc w:val="both"/>
        <w:rPr>
          <w:rFonts w:eastAsia="Calibri"/>
        </w:rPr>
      </w:pPr>
      <w:r>
        <w:rPr>
          <w:rFonts w:eastAsia="Calibri"/>
        </w:rPr>
        <w:t>- the choice of the optimal method of endoprosthesis fixation;</w:t>
      </w:r>
    </w:p>
    <w:p>
      <w:pPr>
        <w:pStyle w:val="Normal"/>
        <w:spacing w:lineRule="auto" w:line="276"/>
        <w:jc w:val="both"/>
        <w:rPr>
          <w:rFonts w:eastAsia="Calibri"/>
        </w:rPr>
      </w:pPr>
      <w:r>
        <w:rPr>
          <w:rFonts w:eastAsia="Calibri"/>
        </w:rPr>
        <w:t>- carrying out restorative treatment in a specialized department;</w:t>
      </w:r>
    </w:p>
    <w:p>
      <w:pPr>
        <w:pStyle w:val="Normal"/>
        <w:spacing w:lineRule="auto" w:line="276"/>
        <w:jc w:val="both"/>
        <w:rPr>
          <w:rFonts w:eastAsia="Calibri"/>
        </w:rPr>
      </w:pPr>
      <w:r>
        <w:rPr>
          <w:rFonts w:eastAsia="Calibri"/>
        </w:rPr>
        <w:t>- the patient's compliance with the recommended orthopedic regimen.</w:t>
      </w:r>
    </w:p>
    <w:p>
      <w:pPr>
        <w:pStyle w:val="Normal"/>
        <w:spacing w:lineRule="auto" w:line="276"/>
        <w:jc w:val="both"/>
        <w:rPr>
          <w:rFonts w:eastAsia="Calibri"/>
        </w:rPr>
      </w:pPr>
      <w:r>
        <w:rPr>
          <w:rFonts w:eastAsia="Calibri"/>
        </w:rPr>
        <w:t>Nevertheless, for an objective assessment and increase in the statistical reliability of the results of oncological ankle arthroplasty, a larger number of operations, a longer observation period and consolidation of data from various clinics performing this type of surgical interventions are required. The development of indications for such reconstructive surgeries and careful selection of patients taking into account the effect of conservative treatment make it possible to reduce the number of complications and local relapses and achieve good functional results.</w:t>
      </w:r>
    </w:p>
    <w:p>
      <w:pPr>
        <w:pStyle w:val="Normal"/>
        <w:spacing w:lineRule="auto" w:line="276"/>
        <w:jc w:val="both"/>
        <w:rPr>
          <w:rFonts w:eastAsia="Calibri"/>
        </w:rPr>
      </w:pPr>
      <w:r>
        <w:rPr>
          <w:rFonts w:eastAsia="Calibri"/>
        </w:rPr>
      </w:r>
    </w:p>
    <w:p>
      <w:pPr>
        <w:pStyle w:val="Normal"/>
        <w:spacing w:lineRule="auto" w:line="276"/>
        <w:jc w:val="both"/>
        <w:rPr>
          <w:rFonts w:eastAsia="Calibri"/>
          <w:b/>
        </w:rPr>
      </w:pPr>
      <w:r>
        <w:rPr>
          <w:rFonts w:eastAsia="Calibri"/>
          <w:b/>
        </w:rPr>
        <w:t>5</w:t>
      </w:r>
      <w:bookmarkStart w:id="0" w:name="_GoBack"/>
      <w:bookmarkEnd w:id="0"/>
      <w:r>
        <w:rPr>
          <w:rFonts w:eastAsia="Calibri"/>
          <w:b/>
        </w:rPr>
        <w:t>. REFERENCES</w:t>
      </w:r>
    </w:p>
    <w:p>
      <w:pPr>
        <w:pStyle w:val="Normal"/>
        <w:spacing w:lineRule="auto" w:line="276"/>
        <w:jc w:val="both"/>
        <w:rPr>
          <w:rFonts w:eastAsia="Calibri"/>
        </w:rPr>
      </w:pPr>
      <w:r>
        <w:rPr>
          <w:rFonts w:eastAsia="Calibri"/>
        </w:rPr>
        <w:t>[1]</w:t>
        <w:tab/>
        <w:t>Aksnes L.H., Bauer H.C., Jebsen N.L. et al. Limb-sparing surgery preserves more function than amputation: a Scandinavian sarcoma group study of 118 patients. J Bone Joint Surg Br 2008;90(6):786–94. DOI: 10.1302/0301-620X.90B6.19805</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[2]</w:t>
        <w:tab/>
        <w:t>Hwang J.S., Mehta A.D., Yoon R.S., Beeb K.S. From amputation to limb salvage reconstruction: evolution and role of the endoprosthesis in musculoskeletal oncology. J Orthopaed Traumatol 2014;15(2):81–6. DOI: 10.1007/s10195-013-0265-8</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[3]</w:t>
        <w:tab/>
        <w:t>Grimer R.J., Aydin B.K., Wafa H. Very long-term outcomes after endoprosthetic replacement for malignant tumors of bone. Bone Joint J 2016;98-B(6):857–64. DOI: 10.1302/0301-620X.98B6.37417</w:t>
      </w:r>
    </w:p>
    <w:p>
      <w:pPr>
        <w:pStyle w:val="Normal"/>
        <w:spacing w:lineRule="auto" w:line="276"/>
        <w:jc w:val="both"/>
        <w:rPr>
          <w:rFonts w:eastAsia="Calibri"/>
        </w:rPr>
      </w:pPr>
      <w:r>
        <w:rPr>
          <w:rFonts w:eastAsia="Calibri"/>
        </w:rPr>
      </w:r>
    </w:p>
    <w:p>
      <w:pPr>
        <w:pStyle w:val="Normal"/>
        <w:spacing w:lineRule="auto" w:line="276"/>
        <w:jc w:val="both"/>
        <w:rPr>
          <w:rFonts w:eastAsia="Calibri"/>
          <w:lang w:val="ru-RU"/>
        </w:rPr>
      </w:pPr>
      <w:r>
        <w:rPr>
          <w:rFonts w:eastAsia="Calibri"/>
        </w:rPr>
        <w:t>[4]</w:t>
        <w:tab/>
        <w:t>Pala E., Henderson E.R., Calabro T. et al. Survival of current production tumor endoprostheses: Complications, functional results, and a comparative statistical analysis. J</w:t>
      </w:r>
      <w:r>
        <w:rPr>
          <w:rFonts w:eastAsia="Calibri"/>
          <w:lang w:val="ru-RU"/>
        </w:rPr>
        <w:t xml:space="preserve"> </w:t>
      </w:r>
      <w:r>
        <w:rPr>
          <w:rFonts w:eastAsia="Calibri"/>
        </w:rPr>
        <w:t>Surg</w:t>
      </w:r>
      <w:r>
        <w:rPr>
          <w:rFonts w:eastAsia="Calibri"/>
          <w:lang w:val="ru-RU"/>
        </w:rPr>
        <w:t xml:space="preserve"> </w:t>
      </w:r>
      <w:r>
        <w:rPr>
          <w:rFonts w:eastAsia="Calibri"/>
        </w:rPr>
        <w:t>Oncol</w:t>
      </w:r>
      <w:r>
        <w:rPr>
          <w:rFonts w:eastAsia="Calibri"/>
          <w:lang w:val="ru-RU"/>
        </w:rPr>
        <w:t xml:space="preserve"> 2013;108(6):403–8. </w:t>
      </w:r>
      <w:r>
        <w:rPr>
          <w:rFonts w:eastAsia="Calibri"/>
        </w:rPr>
        <w:t>DOI</w:t>
      </w:r>
      <w:r>
        <w:rPr>
          <w:rFonts w:eastAsia="Calibri"/>
          <w:lang w:val="ru-RU"/>
        </w:rPr>
        <w:t>: 10.1002/</w:t>
      </w:r>
      <w:r>
        <w:rPr>
          <w:rFonts w:eastAsia="Calibri"/>
        </w:rPr>
        <w:t>jso</w:t>
      </w:r>
      <w:r>
        <w:rPr>
          <w:rFonts w:eastAsia="Calibri"/>
          <w:lang w:val="ru-RU"/>
        </w:rPr>
        <w:t>.23414</w:t>
      </w:r>
    </w:p>
    <w:p>
      <w:pPr>
        <w:pStyle w:val="Normal"/>
        <w:spacing w:lineRule="auto" w:line="276"/>
        <w:jc w:val="both"/>
        <w:rPr>
          <w:rFonts w:eastAsia="Calibri"/>
          <w:lang w:val="ru-RU"/>
        </w:rPr>
      </w:pPr>
      <w:r>
        <w:rPr>
          <w:rFonts w:eastAsia="Calibri"/>
          <w:lang w:val="ru-RU"/>
        </w:rPr>
      </w:r>
    </w:p>
    <w:p>
      <w:pPr>
        <w:pStyle w:val="Normal"/>
        <w:spacing w:lineRule="auto" w:line="276"/>
        <w:jc w:val="both"/>
        <w:rPr>
          <w:rFonts w:eastAsia="Calibri"/>
        </w:rPr>
      </w:pPr>
      <w:r>
        <w:rPr>
          <w:rFonts w:eastAsia="Calibri"/>
        </w:rPr>
        <w:t>[5]</w:t>
        <w:tab/>
        <w:t>Sokolovskii A.V., Sokolovskii V.A., Aliev M.D. Long-term results of individual primary and revision oncological endoprosthetics replacements of ankle joint region with lesions of benign and malignant bone tumors. Sarkomy kostei, miagkikh tkanei i opukholi kozhi = Bone and Soft Tissue Sarcomas, Tumors of the Skin 2020;12(2–3):5–15.</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[6]</w:t>
        <w:tab/>
        <w:t>Kerkhoff Y.R., Kosse N.M., Metsaars W.P., Louwerens J.W. Long-term functional and radiographic outcome of a mobile bearing ankle prosthesis. Foot Ankle Int 2016;37(12):1292–302.</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[7]</w:t>
        <w:tab/>
        <w:t>Shekkeris A.S., Hanna S.A., Sewell M.D. et al. Endoprosthetic reconstruction of the distal tibia and ankle joint after resection of primary bone tumours. J Bone Joint Surg Br 2009;91(10):1378–82. DOI</w:t>
      </w:r>
      <w:r>
        <w:rPr>
          <w:rFonts w:eastAsia="Calibri"/>
          <w:lang w:val="ru-RU"/>
        </w:rPr>
        <w:t>: 10.1302/0301-620</w:t>
      </w:r>
      <w:r>
        <w:rPr>
          <w:rFonts w:eastAsia="Calibri"/>
        </w:rPr>
        <w:t>X</w:t>
      </w:r>
      <w:r>
        <w:rPr>
          <w:rFonts w:eastAsia="Calibri"/>
          <w:lang w:val="ru-RU"/>
        </w:rPr>
        <w:t>.91</w:t>
      </w:r>
      <w:r>
        <w:rPr>
          <w:rFonts w:eastAsia="Calibri"/>
        </w:rPr>
        <w:t>B</w:t>
      </w:r>
      <w:r>
        <w:rPr>
          <w:rFonts w:eastAsia="Calibri"/>
          <w:lang w:val="ru-RU"/>
        </w:rPr>
        <w:t>10.22643</w:t>
      </w:r>
    </w:p>
    <w:p>
      <w:pPr>
        <w:pStyle w:val="Normal"/>
        <w:spacing w:lineRule="auto" w:line="276"/>
        <w:jc w:val="both"/>
        <w:rPr>
          <w:rFonts w:eastAsia="Calibri"/>
          <w:lang w:val="ru-RU"/>
        </w:rPr>
      </w:pPr>
      <w:r>
        <w:rPr>
          <w:rFonts w:eastAsia="Calibri"/>
          <w:lang w:val="ru-RU"/>
        </w:rPr>
      </w:r>
    </w:p>
    <w:p>
      <w:pPr>
        <w:pStyle w:val="Normal"/>
        <w:spacing w:lineRule="auto" w:line="276"/>
        <w:jc w:val="both"/>
        <w:rPr>
          <w:rFonts w:eastAsia="Calibri"/>
        </w:rPr>
      </w:pPr>
      <w:r>
        <w:rPr>
          <w:rFonts w:eastAsia="Calibri"/>
          <w:lang w:val="ru-RU"/>
        </w:rPr>
        <w:t>[8]</w:t>
        <w:tab/>
      </w:r>
      <w:r>
        <w:rPr>
          <w:rFonts w:eastAsia="Calibri"/>
        </w:rPr>
        <w:t>Karpenko</w:t>
      </w:r>
      <w:r>
        <w:rPr>
          <w:rFonts w:eastAsia="Calibri"/>
          <w:lang w:val="ru-RU"/>
        </w:rPr>
        <w:t xml:space="preserve"> </w:t>
      </w:r>
      <w:r>
        <w:rPr>
          <w:rFonts w:eastAsia="Calibri"/>
        </w:rPr>
        <w:t>V</w:t>
      </w:r>
      <w:r>
        <w:rPr>
          <w:rFonts w:eastAsia="Calibri"/>
          <w:lang w:val="ru-RU"/>
        </w:rPr>
        <w:t>.</w:t>
      </w:r>
      <w:r>
        <w:rPr>
          <w:rFonts w:eastAsia="Calibri"/>
        </w:rPr>
        <w:t>Yu</w:t>
      </w:r>
      <w:r>
        <w:rPr>
          <w:rFonts w:eastAsia="Calibri"/>
          <w:lang w:val="ru-RU"/>
        </w:rPr>
        <w:t xml:space="preserve">., </w:t>
      </w:r>
      <w:r>
        <w:rPr>
          <w:rFonts w:eastAsia="Calibri"/>
        </w:rPr>
        <w:t>Bukharov</w:t>
      </w:r>
      <w:r>
        <w:rPr>
          <w:rFonts w:eastAsia="Calibri"/>
          <w:lang w:val="ru-RU"/>
        </w:rPr>
        <w:t xml:space="preserve"> </w:t>
      </w:r>
      <w:r>
        <w:rPr>
          <w:rFonts w:eastAsia="Calibri"/>
        </w:rPr>
        <w:t>A</w:t>
      </w:r>
      <w:r>
        <w:rPr>
          <w:rFonts w:eastAsia="Calibri"/>
          <w:lang w:val="ru-RU"/>
        </w:rPr>
        <w:t>.</w:t>
      </w:r>
      <w:r>
        <w:rPr>
          <w:rFonts w:eastAsia="Calibri"/>
        </w:rPr>
        <w:t>V</w:t>
      </w:r>
      <w:r>
        <w:rPr>
          <w:rFonts w:eastAsia="Calibri"/>
          <w:lang w:val="ru-RU"/>
        </w:rPr>
        <w:t xml:space="preserve">., </w:t>
      </w:r>
      <w:r>
        <w:rPr>
          <w:rFonts w:eastAsia="Calibri"/>
        </w:rPr>
        <w:t>Kurilchik</w:t>
      </w:r>
      <w:r>
        <w:rPr>
          <w:rFonts w:eastAsia="Calibri"/>
          <w:lang w:val="ru-RU"/>
        </w:rPr>
        <w:t xml:space="preserve"> </w:t>
      </w:r>
      <w:r>
        <w:rPr>
          <w:rFonts w:eastAsia="Calibri"/>
        </w:rPr>
        <w:t>A</w:t>
      </w:r>
      <w:r>
        <w:rPr>
          <w:rFonts w:eastAsia="Calibri"/>
          <w:lang w:val="ru-RU"/>
        </w:rPr>
        <w:t>.</w:t>
      </w:r>
      <w:r>
        <w:rPr>
          <w:rFonts w:eastAsia="Calibri"/>
        </w:rPr>
        <w:t>A</w:t>
      </w:r>
      <w:r>
        <w:rPr>
          <w:rFonts w:eastAsia="Calibri"/>
          <w:lang w:val="ru-RU"/>
        </w:rPr>
        <w:t xml:space="preserve">. </w:t>
      </w:r>
      <w:r>
        <w:rPr>
          <w:rFonts w:eastAsia="Calibri"/>
        </w:rPr>
        <w:t>et</w:t>
      </w:r>
      <w:r>
        <w:rPr>
          <w:rFonts w:eastAsia="Calibri"/>
          <w:lang w:val="ru-RU"/>
        </w:rPr>
        <w:t xml:space="preserve"> </w:t>
      </w:r>
      <w:r>
        <w:rPr>
          <w:rFonts w:eastAsia="Calibri"/>
        </w:rPr>
        <w:t>al</w:t>
      </w:r>
      <w:r>
        <w:rPr>
          <w:rFonts w:eastAsia="Calibri"/>
          <w:lang w:val="ru-RU"/>
        </w:rPr>
        <w:t xml:space="preserve">. </w:t>
      </w:r>
      <w:r>
        <w:rPr>
          <w:rFonts w:eastAsia="Calibri"/>
        </w:rPr>
        <w:t>Endoprosthetics in case of tumor lesion of the distal extremities. Onkologiya. Zhurnal im. P.A. Gercena = Oncology. P.A. Herzen Journal 2017;6(5):31–6.</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[9]</w:t>
        <w:tab/>
        <w:t>Mavrogenis A.F., Abati C.N., Romagnoli C., Ruggieri P. Similar survival but better function for patients after limb salvage versus amputation for distal tibia osteosarcoma. Clin Orthop Relat Res 2012;470(6):1735–48. DOI: 10.1007/s11999-011-2238-7</w:t>
      </w:r>
    </w:p>
    <w:p>
      <w:pPr>
        <w:pStyle w:val="Normal"/>
        <w:spacing w:lineRule="auto" w:line="276"/>
        <w:jc w:val="both"/>
        <w:rPr>
          <w:rFonts w:eastAsia="Calibri"/>
        </w:rPr>
      </w:pPr>
      <w:r>
        <w:rPr>
          <w:rFonts w:eastAsia="Calibri"/>
        </w:rPr>
        <w:t>[10]</w:t>
        <w:tab/>
        <w:t>Chandrasekar C.R., Grimer R.J., Carter S.R. et al. Malignant tumours of the foot and ankle: results of limb salvage and amputation. Orthop Proc 2011;93-B(1):79.</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[11]</w:t>
        <w:tab/>
        <w:t>Shalaby S., Shalaby H., Bassiony A. Limb salvage for osteosarcoma of the distal tibia with resection arthrodesis, autogenous fibular graft and Ilizarov external fixator. J Bone Joint Surg Br 2006;88(12):1642–6. DOI: 10.1302/0301-620X.88B12.17879</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[12]</w:t>
        <w:tab/>
        <w:t>Yang P., Evans S., Khan Z. et al. Reconstruction of the distal tibia following resection of aggressive bone tumours using a custom-made megaprosthesis. J Orthop 2017;14(3):406–9. DOI: 10.1016/j.jor.2017.06.003</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[13]</w:t>
        <w:tab/>
        <w:t>Zhao Z., Yan T., Guo W. et al. Surgical options and reconstruction strategies for primary bone tumors of distal tibia: A systematic review of complications and functional outcome. J Bone Oncol 2018;14:100209. DOI: 10.1016/j.jbo.2018.100209</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[14]</w:t>
        <w:tab/>
        <w:t>Lee S.H., Kim H.S., Park Y.B. et al. Prosthetic reconstruction for tumors of the distal tibia and fibula. J Bone Joint Surg Br 1999;81(5):803–7.</w:t>
      </w:r>
    </w:p>
    <w:p>
      <w:pPr>
        <w:pStyle w:val="Normal"/>
        <w:spacing w:lineRule="auto" w:line="276"/>
        <w:jc w:val="both"/>
        <w:rPr>
          <w:rFonts w:eastAsia="Calibri"/>
        </w:rPr>
      </w:pPr>
      <w:r>
        <w:rPr>
          <w:rFonts w:eastAsia="Calibri"/>
        </w:rPr>
      </w:r>
    </w:p>
    <w:p>
      <w:pPr>
        <w:pStyle w:val="Normal"/>
        <w:spacing w:lineRule="auto" w:line="276"/>
        <w:jc w:val="both"/>
        <w:rPr>
          <w:rFonts w:eastAsia="Calibri"/>
        </w:rPr>
      </w:pPr>
      <w:r>
        <w:rPr>
          <w:rFonts w:eastAsia="Calibri"/>
        </w:rPr>
        <w:t>[15]</w:t>
        <w:tab/>
        <w:t>Ebeid W., Amin S., Abdelmegid A. et al. Reconstruction of distal tibial defects following resection of malignant tumours by pedicled vascularised fibular grafts. Acta Orthop Belg 2007;73(3):354–9.</w:t>
      </w:r>
    </w:p>
    <w:p>
      <w:pPr>
        <w:pStyle w:val="Normal"/>
        <w:spacing w:lineRule="auto" w:line="276"/>
        <w:jc w:val="both"/>
        <w:rPr>
          <w:rFonts w:eastAsia="Calibri"/>
          <w:sz w:val="24"/>
        </w:rPr>
      </w:pPr>
      <w:r>
        <w:rPr>
          <w:rFonts w:eastAsia="Calibri"/>
          <w:sz w:val="24"/>
        </w:rPr>
      </w:r>
    </w:p>
    <w:p>
      <w:pPr>
        <w:pStyle w:val="Normal"/>
        <w:spacing w:lineRule="auto" w:line="276"/>
        <w:ind w:hanging="24" w:left="1805" w:right="400"/>
        <w:jc w:val="both"/>
        <w:rPr/>
      </w:pPr>
      <w:r>
        <w:drawing>
          <wp:anchor behindDoc="0" distT="0" distB="0" distL="0" distR="0" simplePos="0" locked="0" layoutInCell="0" allowOverlap="1" relativeHeight="12">
            <wp:simplePos x="0" y="0"/>
            <wp:positionH relativeFrom="page">
              <wp:posOffset>914400</wp:posOffset>
            </wp:positionH>
            <wp:positionV relativeFrom="paragraph">
              <wp:posOffset>13970</wp:posOffset>
            </wp:positionV>
            <wp:extent cx="838200" cy="390525"/>
            <wp:effectExtent l="0" t="0" r="0" b="0"/>
            <wp:wrapNone/>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3"/>
                    <a:stretch>
                      <a:fillRect/>
                    </a:stretch>
                  </pic:blipFill>
                  <pic:spPr bwMode="auto">
                    <a:xfrm>
                      <a:off x="0" y="0"/>
                      <a:ext cx="838200" cy="390525"/>
                    </a:xfrm>
                    <a:prstGeom prst="rect">
                      <a:avLst/>
                    </a:prstGeom>
                  </pic:spPr>
                </pic:pic>
              </a:graphicData>
            </a:graphic>
          </wp:anchor>
        </w:drawing>
      </w:r>
      <w:r>
        <w:rPr/>
        <w:t>This work is licensed under a Creative Commons Attribution Non-Commercial 4.0 International License.</w:t>
      </w:r>
    </w:p>
    <w:sectPr>
      <w:headerReference w:type="even" r:id="rId4"/>
      <w:headerReference w:type="default" r:id="rId5"/>
      <w:footerReference w:type="even" r:id="rId6"/>
      <w:footerReference w:type="default" r:id="rId7"/>
      <w:type w:val="nextPage"/>
      <w:pgSz w:w="12240" w:h="15840"/>
      <w:pgMar w:left="1340" w:right="1320" w:gutter="0" w:header="1152" w:top="1260" w:footer="288" w:bottom="345"/>
      <w:pgNumType w:start="457"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ourier New">
    <w:charset w:val="01"/>
    <w:family w:val="roman"/>
    <w:pitch w:val="variable"/>
  </w:font>
  <w:font w:name="Georgia">
    <w:charset w:val="01"/>
    <w:family w:val="roman"/>
    <w:pitch w:val="variable"/>
  </w:font>
  <w:font w:name="Segoe UI">
    <w:charset w:val="01"/>
    <w:family w:val="roman"/>
    <w:pitch w:val="variable"/>
  </w:font>
  <w:font w:name="Times">
    <w:altName w:val="Times New Roman"/>
    <w:charset w:val="01"/>
    <w:family w:val="roman"/>
    <w:pitch w:val="variable"/>
  </w:font>
  <w:font w:name="Liberation Sans">
    <w:altName w:val="Arial"/>
    <w:charset w:val="01"/>
    <w:family w:val="swiss"/>
    <w:pitch w:val="variable"/>
  </w:font>
  <w:font w:name="Omni">
    <w:charset w:val="01"/>
    <w:family w:val="roman"/>
    <w:pitch w:val="variable"/>
  </w:font>
  <w:font w:name="Arial">
    <w:charset w:val="01"/>
    <w:family w:val="roman"/>
    <w:pitch w:val="variable"/>
  </w:font>
  <w:font w:name="Palatino Linotype">
    <w:charset w:val="01"/>
    <w:family w:val="roman"/>
    <w:pitch w:val="variable"/>
  </w:font>
  <w:font w:name="Arial Narrow">
    <w:charset w:val="01"/>
    <w:family w:val="roman"/>
    <w:pitch w:val="variable"/>
  </w:font>
  <w:font w:name="Palatino">
    <w:charset w:val="01"/>
    <w:family w:val="roman"/>
    <w:pitch w:val="variable"/>
  </w:font>
  <w:font w:name=".AppleSystemUIFon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3257861"/>
    </w:sdtPr>
    <w:sdtContent>
      <w:p>
        <w:pPr>
          <w:pStyle w:val="Footer"/>
          <w:jc w:val="right"/>
          <w:rPr/>
        </w:pPr>
        <w:r>
          <w:rPr/>
          <w:fldChar w:fldCharType="begin"/>
        </w:r>
        <w:r>
          <w:rPr/>
          <w:instrText xml:space="preserve"> PAGE </w:instrText>
        </w:r>
        <w:r>
          <w:rPr/>
          <w:fldChar w:fldCharType="separate"/>
        </w:r>
        <w:r>
          <w:rPr/>
          <w:t>460</w:t>
        </w:r>
        <w:r>
          <w:rPr/>
          <w:fldChar w:fldCharType="end"/>
        </w:r>
      </w:p>
    </w:sdtContent>
  </w:sdt>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61674983"/>
    </w:sdtPr>
    <w:sdtContent>
      <w:p>
        <w:pPr>
          <w:pStyle w:val="Footer"/>
          <w:jc w:val="right"/>
          <w:rPr/>
        </w:pPr>
        <w:r>
          <w:rPr/>
          <w:fldChar w:fldCharType="begin"/>
        </w:r>
        <w:r>
          <w:rPr/>
          <w:instrText xml:space="preserve"> PAGE </w:instrText>
        </w:r>
        <w:r>
          <w:rPr/>
          <w:fldChar w:fldCharType="separate"/>
        </w:r>
        <w:r>
          <w:rPr/>
          <w:t>461</w:t>
        </w:r>
        <w:r>
          <w:rPr/>
          <w:fldChar w:fldCharType="end"/>
        </w:r>
      </w:p>
    </w:sdtContent>
  </w:sdt>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8890" distL="0" distR="0" simplePos="0" locked="0" layoutInCell="0" allowOverlap="1" relativeHeight="4" wp14:anchorId="1F88E3B7">
              <wp:simplePos x="0" y="0"/>
              <wp:positionH relativeFrom="margin">
                <wp:posOffset>6350</wp:posOffset>
              </wp:positionH>
              <wp:positionV relativeFrom="page">
                <wp:posOffset>365125</wp:posOffset>
              </wp:positionV>
              <wp:extent cx="6076950" cy="257175"/>
              <wp:effectExtent l="0" t="0" r="0" b="9525"/>
              <wp:wrapNone/>
              <wp:docPr id="3" name="Text Box 1"/>
              <a:graphic xmlns:a="http://schemas.openxmlformats.org/drawingml/2006/main">
                <a:graphicData uri="http://schemas.microsoft.com/office/word/2010/wordprocessingShape">
                  <wps:wsp>
                    <wps:cNvSpPr/>
                    <wps:spPr>
                      <a:xfrm>
                        <a:off x="0" y="0"/>
                        <a:ext cx="6076800" cy="257040"/>
                      </a:xfrm>
                      <a:prstGeom prst="rect">
                        <a:avLst/>
                      </a:prstGeom>
                      <a:noFill/>
                      <a:ln w="0">
                        <a:noFill/>
                      </a:ln>
                    </wps:spPr>
                    <wps:style>
                      <a:lnRef idx="0"/>
                      <a:fillRef idx="0"/>
                      <a:effectRef idx="0"/>
                      <a:fontRef idx="minor"/>
                    </wps:style>
                    <wps:txbx>
                      <w:txbxContent>
                        <w:p>
                          <w:pPr>
                            <w:pStyle w:val="FrameContents"/>
                            <w:rPr>
                              <w:i/>
                              <w:i/>
                            </w:rPr>
                          </w:pPr>
                          <w:r>
                            <w:rPr>
                              <w:bCs/>
                            </w:rPr>
                            <w:t xml:space="preserve">Sokolovskii, </w:t>
                          </w:r>
                          <w:r>
                            <w:rPr>
                              <w:bCs/>
                              <w:i/>
                            </w:rPr>
                            <w:t>et.al</w:t>
                          </w:r>
                          <w:r>
                            <w:rPr>
                              <w:bCs/>
                            </w:rPr>
                            <w:t>,</w:t>
                          </w:r>
                          <w:r>
                            <w:rPr/>
                            <w:t xml:space="preserve"> 2</w:t>
                          </w:r>
                          <w:r>
                            <w:rPr>
                              <w:lang w:bidi="ar-SA"/>
                            </w:rPr>
                            <w:t xml:space="preserve">023                                                             </w:t>
                          </w:r>
                          <w:hyperlink r:id="rId1">
                            <w:r>
                              <w:rPr>
                                <w:rStyle w:val="Hyperlink"/>
                                <w:i/>
                                <w:lang w:bidi="ar-SA"/>
                              </w:rPr>
                              <w:t>Sarkomy</w:t>
                            </w:r>
                            <w:r>
                              <w:rPr>
                                <w:rStyle w:val="Hyperlink"/>
                                <w:i/>
                              </w:rPr>
                              <w:t xml:space="preserve"> Kostej Magkih Tkanej i Opuholi Kozi</w:t>
                            </w:r>
                          </w:hyperlink>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0.5pt;margin-top:28.75pt;width:478.45pt;height:20.2pt;mso-wrap-style:square;v-text-anchor:top;mso-position-horizontal-relative:margin;mso-position-vertical-relative:page" wp14:anchorId="1F88E3B7">
              <v:fill o:detectmouseclick="t" on="false"/>
              <v:stroke color="#3465a4" joinstyle="round" endcap="flat"/>
              <v:textbox>
                <w:txbxContent>
                  <w:p>
                    <w:pPr>
                      <w:pStyle w:val="FrameContents"/>
                      <w:rPr>
                        <w:i/>
                        <w:i/>
                      </w:rPr>
                    </w:pPr>
                    <w:r>
                      <w:rPr>
                        <w:bCs/>
                      </w:rPr>
                      <w:t xml:space="preserve">Sokolovskii, </w:t>
                    </w:r>
                    <w:r>
                      <w:rPr>
                        <w:bCs/>
                        <w:i/>
                      </w:rPr>
                      <w:t>et.al</w:t>
                    </w:r>
                    <w:r>
                      <w:rPr>
                        <w:bCs/>
                      </w:rPr>
                      <w:t>,</w:t>
                    </w:r>
                    <w:r>
                      <w:rPr/>
                      <w:t xml:space="preserve"> 2</w:t>
                    </w:r>
                    <w:r>
                      <w:rPr>
                        <w:lang w:bidi="ar-SA"/>
                      </w:rPr>
                      <w:t xml:space="preserve">023                                                             </w:t>
                    </w:r>
                    <w:hyperlink r:id="rId2">
                      <w:r>
                        <w:rPr>
                          <w:rStyle w:val="Hyperlink"/>
                          <w:i/>
                          <w:lang w:bidi="ar-SA"/>
                        </w:rPr>
                        <w:t>Sarkomy</w:t>
                      </w:r>
                      <w:r>
                        <w:rPr>
                          <w:rStyle w:val="Hyperlink"/>
                          <w:i/>
                        </w:rPr>
                        <w:t xml:space="preserve"> Kostej Magkih Tkanej i Opuholi Kozi</w:t>
                      </w:r>
                    </w:hyperlink>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14605" simplePos="0" locked="0" layoutInCell="0" allowOverlap="1" relativeHeight="10" wp14:anchorId="0999B726">
              <wp:simplePos x="0" y="0"/>
              <wp:positionH relativeFrom="page">
                <wp:posOffset>2954020</wp:posOffset>
              </wp:positionH>
              <wp:positionV relativeFrom="page">
                <wp:posOffset>281305</wp:posOffset>
              </wp:positionV>
              <wp:extent cx="2291080" cy="342900"/>
              <wp:effectExtent l="0" t="0" r="0" b="0"/>
              <wp:wrapNone/>
              <wp:docPr id="4" name="Text Box 2"/>
              <a:graphic xmlns:a="http://schemas.openxmlformats.org/drawingml/2006/main">
                <a:graphicData uri="http://schemas.microsoft.com/office/word/2010/wordprocessingShape">
                  <wps:wsp>
                    <wps:cNvSpPr/>
                    <wps:spPr>
                      <a:xfrm>
                        <a:off x="0" y="0"/>
                        <a:ext cx="2291040" cy="343080"/>
                      </a:xfrm>
                      <a:prstGeom prst="rect">
                        <a:avLst/>
                      </a:prstGeom>
                      <a:noFill/>
                      <a:ln w="0">
                        <a:noFill/>
                      </a:ln>
                    </wps:spPr>
                    <wps:style>
                      <a:lnRef idx="0"/>
                      <a:fillRef idx="0"/>
                      <a:effectRef idx="0"/>
                      <a:fontRef idx="minor"/>
                    </wps:style>
                    <wps:txbx>
                      <w:txbxContent>
                        <w:p>
                          <w:pPr>
                            <w:pStyle w:val="BodyText"/>
                            <w:spacing w:before="11" w:after="0"/>
                            <w:jc w:val="center"/>
                            <w:rPr/>
                          </w:pPr>
                          <w:r>
                            <w:rPr/>
                            <w:t>ISSN: 2219-4614 E-ISSN: 2782-3687</w:t>
                          </w:r>
                        </w:p>
                        <w:p>
                          <w:pPr>
                            <w:pStyle w:val="BodyText"/>
                            <w:spacing w:before="11" w:after="0"/>
                            <w:jc w:val="center"/>
                            <w:rPr/>
                          </w:pPr>
                          <w:r>
                            <w:rPr/>
                            <w:t>Volume 1</w:t>
                          </w:r>
                          <w:r>
                            <w:rPr/>
                            <w:t>6</w:t>
                          </w:r>
                          <w:r>
                            <w:rPr/>
                            <w:t>, Issue 0</w:t>
                          </w:r>
                          <w:r>
                            <w:rPr/>
                            <w:t>2</w:t>
                          </w:r>
                          <w:r>
                            <w:rPr/>
                            <w:t>, February, 202</w:t>
                          </w:r>
                          <w:r>
                            <w:rPr/>
                            <w:t>5</w:t>
                          </w:r>
                        </w:p>
                        <w:p>
                          <w:pPr>
                            <w:pStyle w:val="BodyText"/>
                            <w:spacing w:before="2" w:after="0"/>
                            <w:ind w:left="20"/>
                            <w:rPr/>
                          </w:pPr>
                          <w:r>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32.6pt;margin-top:22.15pt;width:180.35pt;height:26.95pt;mso-wrap-style:square;v-text-anchor:top;mso-position-horizontal-relative:page;mso-position-vertical-relative:page" wp14:anchorId="0999B726">
              <v:fill o:detectmouseclick="t" on="false"/>
              <v:stroke color="#3465a4" joinstyle="round" endcap="flat"/>
              <v:textbox>
                <w:txbxContent>
                  <w:p>
                    <w:pPr>
                      <w:pStyle w:val="BodyText"/>
                      <w:spacing w:before="11" w:after="0"/>
                      <w:jc w:val="center"/>
                      <w:rPr/>
                    </w:pPr>
                    <w:r>
                      <w:rPr/>
                      <w:t>ISSN: 2219-4614 E-ISSN: 2782-3687</w:t>
                    </w:r>
                  </w:p>
                  <w:p>
                    <w:pPr>
                      <w:pStyle w:val="BodyText"/>
                      <w:spacing w:before="11" w:after="0"/>
                      <w:jc w:val="center"/>
                      <w:rPr/>
                    </w:pPr>
                    <w:r>
                      <w:rPr/>
                      <w:t>Volume 1</w:t>
                    </w:r>
                    <w:r>
                      <w:rPr/>
                      <w:t>6</w:t>
                    </w:r>
                    <w:r>
                      <w:rPr/>
                      <w:t>, Issue 0</w:t>
                    </w:r>
                    <w:r>
                      <w:rPr/>
                      <w:t>2</w:t>
                    </w:r>
                    <w:r>
                      <w:rPr/>
                      <w:t>, February, 202</w:t>
                    </w:r>
                    <w:r>
                      <w:rPr/>
                      <w:t>5</w:t>
                    </w:r>
                  </w:p>
                  <w:p>
                    <w:pPr>
                      <w:pStyle w:val="BodyText"/>
                      <w:spacing w:before="2" w:after="0"/>
                      <w:ind w:left="20"/>
                      <w:rPr/>
                    </w:pPr>
                    <w:r>
                      <w:rPr/>
                    </w:r>
                  </w:p>
                </w:txbxContent>
              </v:textbox>
              <w10:wrap type="none"/>
            </v:rect>
          </w:pict>
        </mc:Fallback>
      </mc:AlternateContent>
      <w:drawing>
        <wp:anchor behindDoc="1" distT="0" distB="0" distL="0" distR="0" simplePos="0" locked="0" layoutInCell="0" allowOverlap="1" relativeHeight="16">
          <wp:simplePos x="0" y="0"/>
          <wp:positionH relativeFrom="margin">
            <wp:posOffset>89535</wp:posOffset>
          </wp:positionH>
          <wp:positionV relativeFrom="paragraph">
            <wp:posOffset>-457200</wp:posOffset>
          </wp:positionV>
          <wp:extent cx="1431290" cy="358140"/>
          <wp:effectExtent l="0" t="0" r="0" b="0"/>
          <wp:wrapNone/>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1"/>
                  <a:stretch>
                    <a:fillRect/>
                  </a:stretch>
                </pic:blipFill>
                <pic:spPr bwMode="auto">
                  <a:xfrm>
                    <a:off x="0" y="0"/>
                    <a:ext cx="1431290" cy="358140"/>
                  </a:xfrm>
                  <a:prstGeom prst="rect">
                    <a:avLst/>
                  </a:prstGeom>
                </pic:spPr>
              </pic:pic>
            </a:graphicData>
          </a:graphic>
        </wp:anchor>
      </w:drawing>
    </w:r>
  </w:p>
</w:hdr>
</file>

<file path=word/settings.xml><?xml version="1.0" encoding="utf-8"?>
<w:settings xmlns:w="http://schemas.openxmlformats.org/wordprocessingml/2006/main">
  <w:zoom w:percent="96"/>
  <w:defaultTabStop w:val="720"/>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516ec2"/>
    <w:pPr>
      <w:widowControl w:val="false"/>
      <w:bidi w:val="0"/>
      <w:spacing w:before="0" w:after="0"/>
      <w:jc w:val="left"/>
    </w:pPr>
    <w:rPr>
      <w:rFonts w:ascii="Times New Roman" w:hAnsi="Times New Roman" w:eastAsia="Times New Roman" w:cs="Times New Roman"/>
      <w:color w:val="auto"/>
      <w:kern w:val="0"/>
      <w:sz w:val="22"/>
      <w:szCs w:val="22"/>
      <w:lang w:bidi="en-US" w:val="en-US" w:eastAsia="en-US"/>
    </w:rPr>
  </w:style>
  <w:style w:type="paragraph" w:styleId="Heading1">
    <w:name w:val="Heading 1"/>
    <w:basedOn w:val="Normal"/>
    <w:link w:val="Heading1Char"/>
    <w:uiPriority w:val="1"/>
    <w:qFormat/>
    <w:rsid w:val="00516ec2"/>
    <w:pPr>
      <w:ind w:left="100" w:right="124"/>
      <w:jc w:val="both"/>
      <w:outlineLvl w:val="0"/>
    </w:pPr>
    <w:rPr>
      <w:sz w:val="24"/>
      <w:szCs w:val="24"/>
    </w:rPr>
  </w:style>
  <w:style w:type="paragraph" w:styleId="Heading2">
    <w:name w:val="Heading 2"/>
    <w:basedOn w:val="Normal"/>
    <w:link w:val="Heading2Char"/>
    <w:uiPriority w:val="9"/>
    <w:qFormat/>
    <w:rsid w:val="00516ec2"/>
    <w:pPr>
      <w:ind w:hanging="221" w:left="321"/>
      <w:outlineLvl w:val="1"/>
    </w:pPr>
    <w:rPr>
      <w:b/>
      <w:bCs/>
    </w:rPr>
  </w:style>
  <w:style w:type="paragraph" w:styleId="Heading3">
    <w:name w:val="Heading 3"/>
    <w:basedOn w:val="Normal"/>
    <w:next w:val="Normal"/>
    <w:link w:val="Heading3Char"/>
    <w:uiPriority w:val="9"/>
    <w:semiHidden/>
    <w:unhideWhenUsed/>
    <w:qFormat/>
    <w:rsid w:val="00287534"/>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Heading4Char"/>
    <w:uiPriority w:val="9"/>
    <w:unhideWhenUsed/>
    <w:qFormat/>
    <w:rsid w:val="00f30c23"/>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5">
    <w:name w:val="Heading 5"/>
    <w:basedOn w:val="Normal"/>
    <w:next w:val="Normal"/>
    <w:link w:val="Heading5Char"/>
    <w:uiPriority w:val="9"/>
    <w:semiHidden/>
    <w:unhideWhenUsed/>
    <w:qFormat/>
    <w:rsid w:val="00202348"/>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Heading6Char"/>
    <w:uiPriority w:val="9"/>
    <w:semiHidden/>
    <w:unhideWhenUsed/>
    <w:qFormat/>
    <w:rsid w:val="00023ac2"/>
    <w:pPr>
      <w:keepNext w:val="true"/>
      <w:keepLines/>
      <w:widowControl/>
      <w:spacing w:lineRule="auto" w:line="259" w:before="40" w:after="0"/>
      <w:outlineLvl w:val="5"/>
    </w:pPr>
    <w:rPr>
      <w:rFonts w:ascii="Cambria" w:hAnsi="Cambria" w:eastAsia="" w:cs="" w:asciiTheme="majorHAnsi" w:cstheme="majorBidi" w:eastAsiaTheme="majorEastAsia" w:hAnsiTheme="majorHAnsi"/>
      <w:color w:themeColor="accent1" w:themeShade="7f" w:val="243F60"/>
      <w:lang w:bidi="ar-SA"/>
    </w:rPr>
  </w:style>
  <w:style w:type="paragraph" w:styleId="Heading7">
    <w:name w:val="Heading 7"/>
    <w:basedOn w:val="Normal"/>
    <w:next w:val="Normal"/>
    <w:link w:val="Heading7Char"/>
    <w:uiPriority w:val="9"/>
    <w:semiHidden/>
    <w:unhideWhenUsed/>
    <w:qFormat/>
    <w:rsid w:val="00632737"/>
    <w:pPr>
      <w:keepNext w:val="true"/>
      <w:keepLines/>
      <w:spacing w:before="40" w:after="0"/>
      <w:outlineLvl w:val="6"/>
    </w:pPr>
    <w:rPr>
      <w:rFonts w:ascii="Cambria" w:hAnsi="Cambria" w:eastAsia="" w:cs="" w:asciiTheme="majorHAnsi" w:cstheme="majorBidi" w:eastAsiaTheme="majorEastAsia" w:hAnsiTheme="majorHAnsi"/>
      <w:i/>
      <w:iCs/>
      <w:color w:themeColor="accent1" w:themeShade="7f" w:val="243F60"/>
    </w:rPr>
  </w:style>
  <w:style w:type="paragraph" w:styleId="Heading8">
    <w:name w:val="Heading 8"/>
    <w:basedOn w:val="Normal"/>
    <w:next w:val="Normal"/>
    <w:link w:val="Heading8Char"/>
    <w:uiPriority w:val="9"/>
    <w:semiHidden/>
    <w:unhideWhenUsed/>
    <w:qFormat/>
    <w:rsid w:val="00fa657c"/>
    <w:pPr>
      <w:keepNext w:val="true"/>
      <w:keepLines/>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4c4e74"/>
    <w:pPr>
      <w:keepNext w:val="true"/>
      <w:keepLines/>
      <w:widowControl/>
      <w:spacing w:lineRule="auto" w:line="276" w:before="40" w:after="0"/>
      <w:outlineLvl w:val="8"/>
    </w:pPr>
    <w:rPr>
      <w:rFonts w:ascii="Cambria" w:hAnsi="Cambria" w:eastAsia="" w:cs="" w:asciiTheme="majorHAnsi" w:cstheme="majorBidi" w:eastAsiaTheme="majorEastAsia" w:hAnsiTheme="majorHAnsi"/>
      <w:i/>
      <w:iCs/>
      <w:color w:themeColor="text1" w:themeTint="d8" w:val="272727"/>
      <w:sz w:val="21"/>
      <w:szCs w:val="21"/>
      <w:lang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bd19ea"/>
    <w:rPr>
      <w:rFonts w:ascii="Times New Roman" w:hAnsi="Times New Roman" w:eastAsia="Times New Roman" w:cs="Times New Roman"/>
      <w:lang w:bidi="en-US"/>
    </w:rPr>
  </w:style>
  <w:style w:type="character" w:styleId="HeaderChar" w:customStyle="1">
    <w:name w:val="Header Char"/>
    <w:basedOn w:val="DefaultParagraphFont"/>
    <w:link w:val="Header"/>
    <w:uiPriority w:val="99"/>
    <w:qFormat/>
    <w:rsid w:val="00bd19ea"/>
    <w:rPr>
      <w:rFonts w:ascii="Times New Roman" w:hAnsi="Times New Roman" w:eastAsia="Times New Roman" w:cs="Times New Roman"/>
      <w:lang w:bidi="en-US"/>
    </w:rPr>
  </w:style>
  <w:style w:type="character" w:styleId="Hyperlink">
    <w:name w:val="Hyperlink"/>
    <w:basedOn w:val="DefaultParagraphFont"/>
    <w:uiPriority w:val="99"/>
    <w:unhideWhenUsed/>
    <w:rsid w:val="00aa5588"/>
    <w:rPr>
      <w:color w:themeColor="hyperlink" w:val="0000FF"/>
      <w:u w:val="single"/>
    </w:rPr>
  </w:style>
  <w:style w:type="character" w:styleId="UnresolvedMention" w:customStyle="1">
    <w:name w:val="Unresolved Mention"/>
    <w:basedOn w:val="DefaultParagraphFont"/>
    <w:uiPriority w:val="99"/>
    <w:semiHidden/>
    <w:unhideWhenUsed/>
    <w:qFormat/>
    <w:rsid w:val="00aa5588"/>
    <w:rPr>
      <w:color w:val="605E5C"/>
      <w:shd w:fill="E1DFDD" w:val="clear"/>
    </w:rPr>
  </w:style>
  <w:style w:type="character" w:styleId="BodyTextChar" w:customStyle="1">
    <w:name w:val="Body Text Char"/>
    <w:basedOn w:val="DefaultParagraphFont"/>
    <w:uiPriority w:val="1"/>
    <w:qFormat/>
    <w:rsid w:val="003862ea"/>
    <w:rPr>
      <w:rFonts w:ascii="Times New Roman" w:hAnsi="Times New Roman" w:eastAsia="Times New Roman" w:cs="Times New Roman"/>
      <w:lang w:bidi="en-US"/>
    </w:rPr>
  </w:style>
  <w:style w:type="character" w:styleId="Strong">
    <w:name w:val="Strong"/>
    <w:uiPriority w:val="22"/>
    <w:qFormat/>
    <w:rsid w:val="00202348"/>
    <w:rPr>
      <w:b/>
      <w:bCs/>
    </w:rPr>
  </w:style>
  <w:style w:type="character" w:styleId="bangChar" w:customStyle="1">
    <w:name w:val="bang Char"/>
    <w:link w:val="bang"/>
    <w:qFormat/>
    <w:rsid w:val="00202348"/>
    <w:rPr>
      <w:rFonts w:ascii="Times New Roman" w:hAnsi="Times New Roman" w:eastAsia="Times New Roman" w:cs="Times New Roman"/>
      <w:bCs/>
      <w:i/>
      <w:iCs/>
      <w:sz w:val="26"/>
      <w:szCs w:val="26"/>
      <w:lang w:val="it-IT"/>
    </w:rPr>
  </w:style>
  <w:style w:type="character" w:styleId="fontstyle01" w:customStyle="1">
    <w:name w:val="fontstyle01"/>
    <w:basedOn w:val="DefaultParagraphFont"/>
    <w:qFormat/>
    <w:rsid w:val="00202348"/>
    <w:rPr>
      <w:rFonts w:ascii="Cambria" w:hAnsi="Cambria"/>
      <w:b w:val="false"/>
      <w:bCs w:val="false"/>
      <w:i w:val="false"/>
      <w:iCs w:val="false"/>
      <w:color w:val="000000"/>
      <w:sz w:val="20"/>
      <w:szCs w:val="20"/>
    </w:rPr>
  </w:style>
  <w:style w:type="character" w:styleId="Heading5Char" w:customStyle="1">
    <w:name w:val="Heading 5 Char"/>
    <w:basedOn w:val="DefaultParagraphFont"/>
    <w:link w:val="Heading5"/>
    <w:uiPriority w:val="9"/>
    <w:semiHidden/>
    <w:qFormat/>
    <w:rsid w:val="00202348"/>
    <w:rPr>
      <w:rFonts w:ascii="Cambria" w:hAnsi="Cambria" w:eastAsia="" w:cs="" w:asciiTheme="majorHAnsi" w:cstheme="majorBidi" w:eastAsiaTheme="majorEastAsia" w:hAnsiTheme="majorHAnsi"/>
      <w:color w:themeColor="accent1" w:themeShade="bf" w:val="365F91"/>
      <w:lang w:bidi="en-US"/>
    </w:rPr>
  </w:style>
  <w:style w:type="character" w:styleId="A9" w:customStyle="1">
    <w:name w:val="A9"/>
    <w:uiPriority w:val="99"/>
    <w:qFormat/>
    <w:rsid w:val="00d44dea"/>
    <w:rPr>
      <w:rFonts w:cs="Omni"/>
      <w:b/>
      <w:bCs/>
      <w:color w:val="000000"/>
      <w:sz w:val="19"/>
      <w:szCs w:val="19"/>
    </w:rPr>
  </w:style>
  <w:style w:type="character" w:styleId="A4" w:customStyle="1">
    <w:name w:val="A4"/>
    <w:uiPriority w:val="99"/>
    <w:qFormat/>
    <w:rsid w:val="00c22762"/>
    <w:rPr>
      <w:color w:val="221E1F"/>
      <w:sz w:val="14"/>
      <w:szCs w:val="14"/>
    </w:rPr>
  </w:style>
  <w:style w:type="character" w:styleId="HTMLPreformattedChar" w:customStyle="1">
    <w:name w:val="HTML Preformatted Char"/>
    <w:basedOn w:val="DefaultParagraphFont"/>
    <w:link w:val="HTMLPreformatted"/>
    <w:uiPriority w:val="99"/>
    <w:qFormat/>
    <w:rsid w:val="00961ae2"/>
    <w:rPr>
      <w:rFonts w:ascii="Courier New" w:hAnsi="Courier New" w:eastAsia="Times New Roman" w:cs="Courier New"/>
      <w:sz w:val="20"/>
      <w:szCs w:val="20"/>
    </w:rPr>
  </w:style>
  <w:style w:type="character" w:styleId="hiddenspellerror" w:customStyle="1">
    <w:name w:val="hiddenspellerror"/>
    <w:basedOn w:val="DefaultParagraphFont"/>
    <w:qFormat/>
    <w:rsid w:val="00a556aa"/>
    <w:rPr/>
  </w:style>
  <w:style w:type="character" w:styleId="topic-highlight" w:customStyle="1">
    <w:name w:val="topic-highlight"/>
    <w:basedOn w:val="DefaultParagraphFont"/>
    <w:qFormat/>
    <w:rsid w:val="00a556aa"/>
    <w:rPr/>
  </w:style>
  <w:style w:type="character" w:styleId="GeorgiaChar" w:customStyle="1">
    <w:name w:val="Georgia Char"/>
    <w:basedOn w:val="DefaultParagraphFont"/>
    <w:link w:val="Georgia"/>
    <w:qFormat/>
    <w:rsid w:val="001f73c5"/>
    <w:rPr>
      <w:rFonts w:ascii="Georgia" w:hAnsi="Georgia"/>
      <w:sz w:val="24"/>
    </w:rPr>
  </w:style>
  <w:style w:type="character" w:styleId="annotationreference">
    <w:name w:val="annotation reference"/>
    <w:basedOn w:val="DefaultParagraphFont"/>
    <w:uiPriority w:val="99"/>
    <w:semiHidden/>
    <w:unhideWhenUsed/>
    <w:qFormat/>
    <w:rsid w:val="0013373e"/>
    <w:rPr>
      <w:sz w:val="16"/>
      <w:szCs w:val="16"/>
    </w:rPr>
  </w:style>
  <w:style w:type="character" w:styleId="CommentTextChar" w:customStyle="1">
    <w:name w:val="Comment Text Char"/>
    <w:basedOn w:val="DefaultParagraphFont"/>
    <w:link w:val="AnnotationText"/>
    <w:uiPriority w:val="99"/>
    <w:semiHidden/>
    <w:qFormat/>
    <w:rsid w:val="0013373e"/>
    <w:rPr>
      <w:rFonts w:ascii="Times New Roman" w:hAnsi="Times New Roman" w:eastAsia="Times New Roman" w:cs="Times New Roman"/>
      <w:sz w:val="20"/>
      <w:szCs w:val="20"/>
      <w:lang w:bidi="en-US"/>
    </w:rPr>
  </w:style>
  <w:style w:type="character" w:styleId="CommentSubjectChar" w:customStyle="1">
    <w:name w:val="Comment Subject Char"/>
    <w:basedOn w:val="CommentTextChar"/>
    <w:link w:val="annotationsubject"/>
    <w:uiPriority w:val="99"/>
    <w:semiHidden/>
    <w:qFormat/>
    <w:rsid w:val="0013373e"/>
    <w:rPr>
      <w:rFonts w:ascii="Times New Roman" w:hAnsi="Times New Roman" w:eastAsia="Times New Roman" w:cs="Times New Roman"/>
      <w:b/>
      <w:bCs/>
      <w:sz w:val="20"/>
      <w:szCs w:val="20"/>
      <w:lang w:bidi="en-US"/>
    </w:rPr>
  </w:style>
  <w:style w:type="character" w:styleId="BalloonTextChar" w:customStyle="1">
    <w:name w:val="Balloon Text Char"/>
    <w:basedOn w:val="DefaultParagraphFont"/>
    <w:link w:val="BalloonText"/>
    <w:uiPriority w:val="99"/>
    <w:semiHidden/>
    <w:qFormat/>
    <w:rsid w:val="0013373e"/>
    <w:rPr>
      <w:rFonts w:ascii="Segoe UI" w:hAnsi="Segoe UI" w:eastAsia="Times New Roman" w:cs="Segoe UI"/>
      <w:sz w:val="18"/>
      <w:szCs w:val="18"/>
      <w:lang w:bidi="en-US"/>
    </w:rPr>
  </w:style>
  <w:style w:type="character" w:styleId="ListParagraphChar" w:customStyle="1">
    <w:name w:val="List Paragraph Char"/>
    <w:basedOn w:val="DefaultParagraphFont"/>
    <w:link w:val="ListParagraph"/>
    <w:uiPriority w:val="34"/>
    <w:qFormat/>
    <w:rsid w:val="00140907"/>
    <w:rPr>
      <w:rFonts w:ascii="Times New Roman" w:hAnsi="Times New Roman" w:eastAsia="Times New Roman" w:cs="Times New Roman"/>
      <w:lang w:bidi="en-US"/>
    </w:rPr>
  </w:style>
  <w:style w:type="character" w:styleId="FollowedHyperlink">
    <w:name w:val="FollowedHyperlink"/>
    <w:basedOn w:val="DefaultParagraphFont"/>
    <w:uiPriority w:val="99"/>
    <w:semiHidden/>
    <w:unhideWhenUsed/>
    <w:rsid w:val="00965b5d"/>
    <w:rPr>
      <w:color w:themeColor="followedHyperlink" w:val="800080"/>
      <w:u w:val="single"/>
    </w:rPr>
  </w:style>
  <w:style w:type="character" w:styleId="Heading4Char" w:customStyle="1">
    <w:name w:val="Heading 4 Char"/>
    <w:basedOn w:val="DefaultParagraphFont"/>
    <w:link w:val="Heading4"/>
    <w:uiPriority w:val="9"/>
    <w:qFormat/>
    <w:rsid w:val="00f30c23"/>
    <w:rPr>
      <w:rFonts w:ascii="Cambria" w:hAnsi="Cambria" w:eastAsia="" w:cs="" w:asciiTheme="majorHAnsi" w:cstheme="majorBidi" w:eastAsiaTheme="majorEastAsia" w:hAnsiTheme="majorHAnsi"/>
      <w:i/>
      <w:iCs/>
      <w:color w:themeColor="accent1" w:themeShade="bf" w:val="365F91"/>
      <w:lang w:bidi="en-US"/>
    </w:rPr>
  </w:style>
  <w:style w:type="character" w:styleId="Heading3Char" w:customStyle="1">
    <w:name w:val="Heading 3 Char"/>
    <w:basedOn w:val="DefaultParagraphFont"/>
    <w:link w:val="Heading3"/>
    <w:uiPriority w:val="9"/>
    <w:semiHidden/>
    <w:qFormat/>
    <w:rsid w:val="00287534"/>
    <w:rPr>
      <w:rFonts w:ascii="Cambria" w:hAnsi="Cambria" w:eastAsia="" w:cs="" w:asciiTheme="majorHAnsi" w:cstheme="majorBidi" w:eastAsiaTheme="majorEastAsia" w:hAnsiTheme="majorHAnsi"/>
      <w:color w:themeColor="accent1" w:themeShade="7f" w:val="243F60"/>
      <w:sz w:val="24"/>
      <w:szCs w:val="24"/>
      <w:lang w:bidi="en-US"/>
    </w:rPr>
  </w:style>
  <w:style w:type="character" w:styleId="p1aZchn" w:customStyle="1">
    <w:name w:val="p1a Zchn"/>
    <w:link w:val="p1a"/>
    <w:qFormat/>
    <w:rsid w:val="00160cd5"/>
    <w:rPr>
      <w:rFonts w:ascii="Times" w:hAnsi="Times" w:eastAsia="Malgun Gothic" w:cs="Times New Roman"/>
      <w:sz w:val="20"/>
      <w:szCs w:val="20"/>
      <w:lang w:eastAsia="de-DE"/>
    </w:rPr>
  </w:style>
  <w:style w:type="character" w:styleId="BodyText2Char" w:customStyle="1">
    <w:name w:val="Body Text 2 Char"/>
    <w:basedOn w:val="DefaultParagraphFont"/>
    <w:link w:val="BodyText2"/>
    <w:uiPriority w:val="99"/>
    <w:semiHidden/>
    <w:qFormat/>
    <w:rsid w:val="00866cda"/>
    <w:rPr>
      <w:rFonts w:ascii="Times New Roman" w:hAnsi="Times New Roman" w:eastAsia="Times New Roman" w:cs="Times New Roman"/>
      <w:lang w:bidi="en-US"/>
    </w:rPr>
  </w:style>
  <w:style w:type="character" w:styleId="Heading6Char" w:customStyle="1">
    <w:name w:val="Heading 6 Char"/>
    <w:basedOn w:val="DefaultParagraphFont"/>
    <w:link w:val="Heading6"/>
    <w:uiPriority w:val="9"/>
    <w:semiHidden/>
    <w:qFormat/>
    <w:rsid w:val="00023ac2"/>
    <w:rPr>
      <w:rFonts w:ascii="Cambria" w:hAnsi="Cambria" w:eastAsia="" w:cs="" w:asciiTheme="majorHAnsi" w:cstheme="majorBidi" w:eastAsiaTheme="majorEastAsia" w:hAnsiTheme="majorHAnsi"/>
      <w:color w:themeColor="accent1" w:themeShade="7f" w:val="243F60"/>
    </w:rPr>
  </w:style>
  <w:style w:type="character" w:styleId="word" w:customStyle="1">
    <w:name w:val="word"/>
    <w:basedOn w:val="DefaultParagraphFont"/>
    <w:qFormat/>
    <w:rsid w:val="009158d4"/>
    <w:rPr/>
  </w:style>
  <w:style w:type="character" w:styleId="EquationChar" w:customStyle="1">
    <w:name w:val="Equation Char"/>
    <w:link w:val="Equation"/>
    <w:qFormat/>
    <w:locked/>
    <w:rsid w:val="0021613a"/>
    <w:rPr/>
  </w:style>
  <w:style w:type="character" w:styleId="TextChar" w:customStyle="1">
    <w:name w:val="Text Char"/>
    <w:link w:val="Text"/>
    <w:qFormat/>
    <w:locked/>
    <w:rsid w:val="0021613a"/>
    <w:rPr>
      <w:lang w:val="x-none" w:eastAsia="x-none"/>
    </w:rPr>
  </w:style>
  <w:style w:type="character" w:styleId="mjx-char" w:customStyle="1">
    <w:name w:val="mjx-char"/>
    <w:basedOn w:val="DefaultParagraphFont"/>
    <w:qFormat/>
    <w:rsid w:val="003b2338"/>
    <w:rPr/>
  </w:style>
  <w:style w:type="character" w:styleId="PlaceholderText">
    <w:name w:val="Placeholder Text"/>
    <w:basedOn w:val="DefaultParagraphFont"/>
    <w:uiPriority w:val="99"/>
    <w:semiHidden/>
    <w:qFormat/>
    <w:rsid w:val="005f5bd2"/>
    <w:rPr>
      <w:color w:val="808080"/>
    </w:rPr>
  </w:style>
  <w:style w:type="character" w:styleId="apple-converted-space" w:customStyle="1">
    <w:name w:val="apple-converted-space"/>
    <w:basedOn w:val="DefaultParagraphFont"/>
    <w:qFormat/>
    <w:rsid w:val="005f5bd2"/>
    <w:rPr/>
  </w:style>
  <w:style w:type="character" w:styleId="articlecitationyear" w:customStyle="1">
    <w:name w:val="articlecitation_year"/>
    <w:basedOn w:val="DefaultParagraphFont"/>
    <w:qFormat/>
    <w:rsid w:val="005f5bd2"/>
    <w:rPr/>
  </w:style>
  <w:style w:type="character" w:styleId="articlecitationvolume" w:customStyle="1">
    <w:name w:val="articlecitation_volume"/>
    <w:basedOn w:val="DefaultParagraphFont"/>
    <w:qFormat/>
    <w:rsid w:val="005f5bd2"/>
    <w:rPr/>
  </w:style>
  <w:style w:type="character" w:styleId="articlecitationpages" w:customStyle="1">
    <w:name w:val="articlecitation_pages"/>
    <w:basedOn w:val="DefaultParagraphFont"/>
    <w:qFormat/>
    <w:rsid w:val="005f5bd2"/>
    <w:rPr/>
  </w:style>
  <w:style w:type="character" w:styleId="Heading2Char" w:customStyle="1">
    <w:name w:val="Heading 2 Char"/>
    <w:basedOn w:val="DefaultParagraphFont"/>
    <w:link w:val="Heading2"/>
    <w:uiPriority w:val="9"/>
    <w:qFormat/>
    <w:rsid w:val="005f5bd2"/>
    <w:rPr>
      <w:rFonts w:ascii="Times New Roman" w:hAnsi="Times New Roman" w:eastAsia="Times New Roman" w:cs="Times New Roman"/>
      <w:b/>
      <w:bCs/>
      <w:lang w:bidi="en-US"/>
    </w:rPr>
  </w:style>
  <w:style w:type="character" w:styleId="Heading1Char" w:customStyle="1">
    <w:name w:val="Heading 1 Char"/>
    <w:basedOn w:val="DefaultParagraphFont"/>
    <w:link w:val="Heading1"/>
    <w:uiPriority w:val="1"/>
    <w:qFormat/>
    <w:rsid w:val="005f5bd2"/>
    <w:rPr>
      <w:rFonts w:ascii="Times New Roman" w:hAnsi="Times New Roman" w:eastAsia="Times New Roman" w:cs="Times New Roman"/>
      <w:sz w:val="24"/>
      <w:szCs w:val="24"/>
      <w:lang w:bidi="en-US"/>
    </w:rPr>
  </w:style>
  <w:style w:type="character" w:styleId="NewparagraphChar" w:customStyle="1">
    <w:name w:val="New paragraph Char"/>
    <w:basedOn w:val="DefaultParagraphFont"/>
    <w:link w:val="Newparagraph"/>
    <w:qFormat/>
    <w:rsid w:val="00d56ebc"/>
    <w:rPr>
      <w:rFonts w:ascii="Times New Roman" w:hAnsi="Times New Roman" w:eastAsia="Times New Roman" w:cs="Times New Roman"/>
      <w:sz w:val="24"/>
      <w:szCs w:val="24"/>
      <w:lang w:val="en-GB" w:eastAsia="en-GB"/>
    </w:rPr>
  </w:style>
  <w:style w:type="character" w:styleId="BodyTextIndentChar" w:customStyle="1">
    <w:name w:val="Body Text Indent Char"/>
    <w:basedOn w:val="DefaultParagraphFont"/>
    <w:uiPriority w:val="99"/>
    <w:semiHidden/>
    <w:qFormat/>
    <w:rsid w:val="00a70ee9"/>
    <w:rPr>
      <w:rFonts w:ascii="Times New Roman" w:hAnsi="Times New Roman" w:eastAsia="Times New Roman" w:cs="Times New Roman"/>
      <w:lang w:bidi="en-US"/>
    </w:rPr>
  </w:style>
  <w:style w:type="character" w:styleId="y2iqfc" w:customStyle="1">
    <w:name w:val="y2iqfc"/>
    <w:qFormat/>
    <w:rsid w:val="00d93018"/>
    <w:rPr/>
  </w:style>
  <w:style w:type="character" w:styleId="MemberType" w:customStyle="1">
    <w:name w:val="MemberType"/>
    <w:qFormat/>
    <w:rsid w:val="00d93018"/>
    <w:rPr>
      <w:rFonts w:ascii="Times New Roman" w:hAnsi="Times New Roman" w:cs="Times New Roman"/>
      <w:i/>
      <w:iCs/>
      <w:sz w:val="22"/>
      <w:szCs w:val="22"/>
    </w:rPr>
  </w:style>
  <w:style w:type="character" w:styleId="result" w:customStyle="1">
    <w:name w:val="result"/>
    <w:basedOn w:val="DefaultParagraphFont"/>
    <w:qFormat/>
    <w:rsid w:val="005e4846"/>
    <w:rPr>
      <w:color w:val="000080"/>
    </w:rPr>
  </w:style>
  <w:style w:type="character" w:styleId="BodyTextIndent2Char" w:customStyle="1">
    <w:name w:val="Body Text Indent 2 Char"/>
    <w:basedOn w:val="DefaultParagraphFont"/>
    <w:link w:val="BodyTextIndent2"/>
    <w:uiPriority w:val="99"/>
    <w:semiHidden/>
    <w:qFormat/>
    <w:rsid w:val="004259e3"/>
    <w:rPr/>
  </w:style>
  <w:style w:type="character" w:styleId="Heading9Char" w:customStyle="1">
    <w:name w:val="Heading 9 Char"/>
    <w:basedOn w:val="DefaultParagraphFont"/>
    <w:link w:val="Heading9"/>
    <w:uiPriority w:val="9"/>
    <w:semiHidden/>
    <w:qFormat/>
    <w:rsid w:val="004c4e74"/>
    <w:rPr>
      <w:rFonts w:ascii="Cambria" w:hAnsi="Cambria" w:eastAsia="" w:cs="" w:asciiTheme="majorHAnsi" w:cstheme="majorBidi" w:eastAsiaTheme="majorEastAsia" w:hAnsiTheme="majorHAnsi"/>
      <w:i/>
      <w:iCs/>
      <w:color w:themeColor="text1" w:themeTint="d8" w:val="272727"/>
      <w:sz w:val="21"/>
      <w:szCs w:val="21"/>
    </w:rPr>
  </w:style>
  <w:style w:type="character" w:styleId="Heading7Char" w:customStyle="1">
    <w:name w:val="Heading 7 Char"/>
    <w:basedOn w:val="DefaultParagraphFont"/>
    <w:link w:val="Heading7"/>
    <w:uiPriority w:val="9"/>
    <w:semiHidden/>
    <w:qFormat/>
    <w:rsid w:val="00632737"/>
    <w:rPr>
      <w:rFonts w:ascii="Cambria" w:hAnsi="Cambria" w:eastAsia="" w:cs="" w:asciiTheme="majorHAnsi" w:cstheme="majorBidi" w:eastAsiaTheme="majorEastAsia" w:hAnsiTheme="majorHAnsi"/>
      <w:i/>
      <w:iCs/>
      <w:color w:themeColor="accent1" w:themeShade="7f" w:val="243F60"/>
      <w:lang w:bidi="en-US"/>
    </w:rPr>
  </w:style>
  <w:style w:type="character" w:styleId="Heading8Char" w:customStyle="1">
    <w:name w:val="Heading 8 Char"/>
    <w:basedOn w:val="DefaultParagraphFont"/>
    <w:link w:val="Heading8"/>
    <w:uiPriority w:val="9"/>
    <w:semiHidden/>
    <w:qFormat/>
    <w:rsid w:val="00fa657c"/>
    <w:rPr>
      <w:rFonts w:ascii="Cambria" w:hAnsi="Cambria" w:eastAsia="" w:cs="" w:asciiTheme="majorHAnsi" w:cstheme="majorBidi" w:eastAsiaTheme="majorEastAsia" w:hAnsiTheme="majorHAnsi"/>
      <w:color w:themeColor="text1" w:themeTint="d8" w:val="272727"/>
      <w:sz w:val="21"/>
      <w:szCs w:val="21"/>
      <w:lang w:bidi="en-U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1"/>
    <w:qFormat/>
    <w:rsid w:val="00516ec2"/>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rsid w:val="00f30c23"/>
    <w:pPr>
      <w:widowControl/>
      <w:spacing w:lineRule="auto" w:line="360"/>
      <w:ind w:firstLine="284"/>
      <w:jc w:val="left"/>
    </w:pPr>
    <w:rPr>
      <w:b/>
      <w:bCs/>
      <w:sz w:val="20"/>
      <w:szCs w:val="20"/>
      <w:lang w:bidi="ar-SA"/>
    </w:rPr>
  </w:style>
  <w:style w:type="paragraph" w:styleId="Index">
    <w:name w:val="Index"/>
    <w:basedOn w:val="Normal"/>
    <w:qFormat/>
    <w:pPr>
      <w:suppressLineNumbers/>
    </w:pPr>
    <w:rPr>
      <w:rFonts w:cs="Noto Sans Devanagari"/>
    </w:rPr>
  </w:style>
  <w:style w:type="paragraph" w:styleId="ListParagraph">
    <w:name w:val="List Paragraph"/>
    <w:basedOn w:val="Normal"/>
    <w:link w:val="ListParagraphChar"/>
    <w:uiPriority w:val="34"/>
    <w:qFormat/>
    <w:rsid w:val="00516ec2"/>
    <w:pPr>
      <w:ind w:left="100"/>
      <w:jc w:val="both"/>
    </w:pPr>
    <w:rPr/>
  </w:style>
  <w:style w:type="paragraph" w:styleId="TableParagraph" w:customStyle="1">
    <w:name w:val="Table Paragraph"/>
    <w:basedOn w:val="Normal"/>
    <w:uiPriority w:val="1"/>
    <w:qFormat/>
    <w:rsid w:val="00516ec2"/>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bd19ea"/>
    <w:pPr>
      <w:tabs>
        <w:tab w:val="clear" w:pos="720"/>
        <w:tab w:val="center" w:pos="4680" w:leader="none"/>
        <w:tab w:val="right" w:pos="9360" w:leader="none"/>
      </w:tabs>
    </w:pPr>
    <w:rPr/>
  </w:style>
  <w:style w:type="paragraph" w:styleId="Header">
    <w:name w:val="Header"/>
    <w:basedOn w:val="Normal"/>
    <w:link w:val="HeaderChar"/>
    <w:uiPriority w:val="99"/>
    <w:unhideWhenUsed/>
    <w:rsid w:val="00bd19ea"/>
    <w:pPr>
      <w:tabs>
        <w:tab w:val="clear" w:pos="720"/>
        <w:tab w:val="center" w:pos="4680" w:leader="none"/>
        <w:tab w:val="right" w:pos="9360" w:leader="none"/>
      </w:tabs>
    </w:pPr>
    <w:rPr/>
  </w:style>
  <w:style w:type="paragraph" w:styleId="NoSpacing">
    <w:name w:val="No Spacing"/>
    <w:uiPriority w:val="1"/>
    <w:qFormat/>
    <w:rsid w:val="00632d41"/>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para" w:customStyle="1">
    <w:name w:val="para"/>
    <w:basedOn w:val="Normal"/>
    <w:qFormat/>
    <w:rsid w:val="00d34580"/>
    <w:pPr>
      <w:widowControl/>
      <w:spacing w:beforeAutospacing="1" w:afterAutospacing="1"/>
    </w:pPr>
    <w:rPr>
      <w:sz w:val="24"/>
      <w:szCs w:val="24"/>
      <w:lang w:bidi="ar-SA"/>
    </w:rPr>
  </w:style>
  <w:style w:type="paragraph" w:styleId="Newparagraph" w:customStyle="1">
    <w:name w:val="New paragraph"/>
    <w:basedOn w:val="Normal"/>
    <w:link w:val="NewparagraphChar"/>
    <w:qFormat/>
    <w:rsid w:val="00202348"/>
    <w:pPr>
      <w:widowControl/>
      <w:spacing w:lineRule="auto" w:line="480"/>
      <w:ind w:firstLine="720"/>
    </w:pPr>
    <w:rPr>
      <w:sz w:val="24"/>
      <w:szCs w:val="24"/>
      <w:lang w:val="en-GB" w:eastAsia="en-GB" w:bidi="ar-SA"/>
    </w:rPr>
  </w:style>
  <w:style w:type="paragraph" w:styleId="bang" w:customStyle="1">
    <w:name w:val="bang"/>
    <w:basedOn w:val="Heading5"/>
    <w:link w:val="bangChar"/>
    <w:qFormat/>
    <w:rsid w:val="00202348"/>
    <w:pPr>
      <w:keepNext w:val="false"/>
      <w:keepLines w:val="false"/>
      <w:widowControl/>
      <w:spacing w:lineRule="auto" w:line="360" w:before="0" w:after="0"/>
      <w:jc w:val="both"/>
    </w:pPr>
    <w:rPr>
      <w:rFonts w:ascii="Times New Roman" w:hAnsi="Times New Roman" w:eastAsia="Times New Roman" w:cs="Times New Roman"/>
      <w:bCs/>
      <w:i/>
      <w:iCs/>
      <w:color w:themeColor="accent1" w:themeShade="bf" w:val="auto"/>
      <w:sz w:val="26"/>
      <w:szCs w:val="26"/>
      <w:lang w:val="it-IT" w:bidi="ar-SA"/>
    </w:rPr>
  </w:style>
  <w:style w:type="paragraph" w:styleId="Pa10" w:customStyle="1">
    <w:name w:val="Pa10"/>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Pa11" w:customStyle="1">
    <w:name w:val="Pa11"/>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Pa9" w:customStyle="1">
    <w:name w:val="Pa9"/>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NormalWeb">
    <w:name w:val="Normal (Web)"/>
    <w:basedOn w:val="Normal"/>
    <w:uiPriority w:val="99"/>
    <w:unhideWhenUsed/>
    <w:qFormat/>
    <w:rsid w:val="00d44dea"/>
    <w:pPr>
      <w:widowControl/>
    </w:pPr>
    <w:rPr>
      <w:rFonts w:eastAsia="" w:eastAsiaTheme="minorEastAsia"/>
      <w:sz w:val="24"/>
      <w:szCs w:val="24"/>
      <w:lang w:bidi="ar-SA"/>
    </w:rPr>
  </w:style>
  <w:style w:type="paragraph" w:styleId="Default" w:customStyle="1">
    <w:name w:val="Default"/>
    <w:qFormat/>
    <w:rsid w:val="00c33690"/>
    <w:pPr>
      <w:widowControl/>
      <w:bidi w:val="0"/>
      <w:spacing w:before="0" w:after="0"/>
      <w:jc w:val="left"/>
    </w:pPr>
    <w:rPr>
      <w:rFonts w:ascii="Times New Roman" w:hAnsi="Times New Roman" w:cs="Times New Roman" w:eastAsia="Calibri"/>
      <w:color w:val="000000"/>
      <w:kern w:val="0"/>
      <w:sz w:val="24"/>
      <w:szCs w:val="24"/>
      <w:lang w:val="en-US" w:eastAsia="en-US" w:bidi="ar-SA"/>
    </w:rPr>
  </w:style>
  <w:style w:type="paragraph" w:styleId="Pa0" w:customStyle="1">
    <w:name w:val="Pa0"/>
    <w:basedOn w:val="Normal"/>
    <w:next w:val="Normal"/>
    <w:uiPriority w:val="99"/>
    <w:qFormat/>
    <w:rsid w:val="00c22762"/>
    <w:pPr>
      <w:widowControl/>
      <w:spacing w:lineRule="atLeast" w:line="241"/>
    </w:pPr>
    <w:rPr>
      <w:rFonts w:eastAsia="Calibri" w:eastAsiaTheme="minorHAnsi"/>
      <w:sz w:val="24"/>
      <w:szCs w:val="24"/>
      <w:lang w:bidi="ar-SA"/>
    </w:rPr>
  </w:style>
  <w:style w:type="paragraph" w:styleId="Addresses" w:customStyle="1">
    <w:name w:val="Addresses"/>
    <w:next w:val="Normal"/>
    <w:qFormat/>
    <w:rsid w:val="00042c1e"/>
    <w:pPr>
      <w:widowControl/>
      <w:bidi w:val="0"/>
      <w:spacing w:before="0" w:after="240"/>
      <w:ind w:left="1418"/>
      <w:jc w:val="left"/>
    </w:pPr>
    <w:rPr>
      <w:rFonts w:ascii="Times" w:hAnsi="Times" w:eastAsia="Times New Roman" w:cs="Times New Roman"/>
      <w:color w:val="auto"/>
      <w:kern w:val="0"/>
      <w:sz w:val="22"/>
      <w:szCs w:val="22"/>
      <w:lang w:val="en-GB" w:eastAsia="en-US" w:bidi="ar-SA"/>
    </w:rPr>
  </w:style>
  <w:style w:type="paragraph" w:styleId="BodytextIndented" w:customStyle="1">
    <w:name w:val="BodytextIndented"/>
    <w:basedOn w:val="Normal"/>
    <w:qFormat/>
    <w:rsid w:val="00cd2449"/>
    <w:pPr>
      <w:widowControl/>
      <w:ind w:firstLine="284"/>
      <w:jc w:val="both"/>
    </w:pPr>
    <w:rPr>
      <w:rFonts w:ascii="Times" w:hAnsi="Times"/>
      <w:iCs/>
      <w:color w:val="000000"/>
      <w:lang w:bidi="ar-SA"/>
    </w:rPr>
  </w:style>
  <w:style w:type="paragraph" w:styleId="HTMLPreformatted">
    <w:name w:val="HTML Preformatted"/>
    <w:basedOn w:val="Normal"/>
    <w:link w:val="HTMLPreformattedChar"/>
    <w:uiPriority w:val="99"/>
    <w:unhideWhenUsed/>
    <w:qFormat/>
    <w:rsid w:val="00961ae2"/>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bidi="ar-SA"/>
    </w:rPr>
  </w:style>
  <w:style w:type="paragraph" w:styleId="ICMPCAbstractHeading" w:customStyle="1">
    <w:name w:val="ICMPC AbstractHeading"/>
    <w:uiPriority w:val="99"/>
    <w:qFormat/>
    <w:rsid w:val="008a5fea"/>
    <w:pPr>
      <w:widowControl/>
      <w:bidi w:val="0"/>
      <w:spacing w:before="180" w:after="60"/>
      <w:jc w:val="left"/>
    </w:pPr>
    <w:rPr>
      <w:rFonts w:ascii="Times New Roman" w:hAnsi="Times New Roman" w:eastAsia="SimSun" w:cs="Times New Roman"/>
      <w:b/>
      <w:bCs/>
      <w:color w:val="000000"/>
      <w:kern w:val="0"/>
      <w:sz w:val="24"/>
      <w:szCs w:val="24"/>
      <w:lang w:eastAsia="zh-CN" w:val="en-US" w:bidi="ar-SA"/>
    </w:rPr>
  </w:style>
  <w:style w:type="paragraph" w:styleId="Georgia" w:customStyle="1">
    <w:name w:val="Georgia"/>
    <w:basedOn w:val="Normal"/>
    <w:link w:val="GeorgiaChar"/>
    <w:qFormat/>
    <w:rsid w:val="001f73c5"/>
    <w:pPr>
      <w:widowControl/>
      <w:spacing w:lineRule="auto" w:line="276" w:before="0" w:after="160"/>
      <w:jc w:val="both"/>
    </w:pPr>
    <w:rPr>
      <w:rFonts w:ascii="Georgia" w:hAnsi="Georgia" w:eastAsia="Calibri" w:cs="" w:cstheme="minorBidi" w:eastAsiaTheme="minorHAnsi"/>
      <w:sz w:val="24"/>
      <w:lang w:bidi="ar-SA"/>
    </w:rPr>
  </w:style>
  <w:style w:type="paragraph" w:styleId="AnnotationText">
    <w:name w:val="Annotation Text"/>
    <w:basedOn w:val="Normal"/>
    <w:link w:val="CommentTextChar"/>
    <w:uiPriority w:val="99"/>
    <w:semiHidden/>
    <w:unhideWhenUsed/>
    <w:rsid w:val="0013373e"/>
    <w:pPr/>
    <w:rPr>
      <w:sz w:val="20"/>
      <w:szCs w:val="20"/>
    </w:rPr>
  </w:style>
  <w:style w:type="paragraph" w:styleId="annotationsubject">
    <w:name w:val="annotation subject"/>
    <w:basedOn w:val="AnnotationText"/>
    <w:next w:val="AnnotationText"/>
    <w:link w:val="CommentSubjectChar"/>
    <w:uiPriority w:val="99"/>
    <w:semiHidden/>
    <w:unhideWhenUsed/>
    <w:qFormat/>
    <w:rsid w:val="0013373e"/>
    <w:pPr/>
    <w:rPr>
      <w:b/>
      <w:bCs/>
    </w:rPr>
  </w:style>
  <w:style w:type="paragraph" w:styleId="BalloonText">
    <w:name w:val="Balloon Text"/>
    <w:basedOn w:val="Normal"/>
    <w:link w:val="BalloonTextChar"/>
    <w:uiPriority w:val="99"/>
    <w:semiHidden/>
    <w:unhideWhenUsed/>
    <w:qFormat/>
    <w:rsid w:val="0013373e"/>
    <w:pPr/>
    <w:rPr>
      <w:rFonts w:ascii="Segoe UI" w:hAnsi="Segoe UI" w:cs="Segoe UI"/>
      <w:sz w:val="18"/>
      <w:szCs w:val="18"/>
    </w:rPr>
  </w:style>
  <w:style w:type="paragraph" w:styleId="Pa8" w:customStyle="1">
    <w:name w:val="Pa8"/>
    <w:basedOn w:val="Normal"/>
    <w:next w:val="Normal"/>
    <w:uiPriority w:val="99"/>
    <w:qFormat/>
    <w:rsid w:val="00081eec"/>
    <w:pPr>
      <w:widowControl/>
      <w:spacing w:lineRule="atLeast" w:line="171"/>
    </w:pPr>
    <w:rPr>
      <w:rFonts w:ascii="Arial" w:hAnsi="Arial" w:eastAsia="Calibri" w:cs="Arial" w:eastAsiaTheme="minorHAnsi"/>
      <w:sz w:val="24"/>
      <w:szCs w:val="24"/>
      <w:lang w:bidi="ar-SA"/>
    </w:rPr>
  </w:style>
  <w:style w:type="paragraph" w:styleId="desc" w:customStyle="1">
    <w:name w:val="desc"/>
    <w:basedOn w:val="Normal"/>
    <w:qFormat/>
    <w:rsid w:val="00d44591"/>
    <w:pPr>
      <w:widowControl/>
      <w:spacing w:beforeAutospacing="1" w:afterAutospacing="1"/>
    </w:pPr>
    <w:rPr>
      <w:sz w:val="24"/>
      <w:szCs w:val="24"/>
      <w:lang w:bidi="ar-SA"/>
    </w:rPr>
  </w:style>
  <w:style w:type="paragraph" w:styleId="Bibliography">
    <w:name w:val="Bibliography"/>
    <w:basedOn w:val="Normal"/>
    <w:next w:val="Normal"/>
    <w:uiPriority w:val="37"/>
    <w:semiHidden/>
    <w:unhideWhenUsed/>
    <w:qFormat/>
    <w:rsid w:val="00654798"/>
    <w:pPr/>
    <w:rPr/>
  </w:style>
  <w:style w:type="paragraph" w:styleId="MDPI39equation" w:customStyle="1">
    <w:name w:val="MDPI_3.9_equation"/>
    <w:basedOn w:val="Normal"/>
    <w:qFormat/>
    <w:rsid w:val="008637c2"/>
    <w:pPr>
      <w:widowControl/>
      <w:snapToGrid w:val="false"/>
      <w:spacing w:lineRule="atLeast" w:line="260" w:before="120" w:after="120"/>
      <w:ind w:left="709"/>
      <w:jc w:val="center"/>
    </w:pPr>
    <w:rPr>
      <w:rFonts w:ascii="Palatino Linotype" w:hAnsi="Palatino Linotype"/>
      <w:color w:val="000000"/>
      <w:sz w:val="20"/>
      <w:lang w:eastAsia="de-DE"/>
    </w:rPr>
  </w:style>
  <w:style w:type="paragraph" w:styleId="MDPI3aequationnumber" w:customStyle="1">
    <w:name w:val="MDPI_3.a_equation_number"/>
    <w:basedOn w:val="Normal"/>
    <w:qFormat/>
    <w:rsid w:val="008637c2"/>
    <w:pPr>
      <w:widowControl/>
      <w:snapToGrid w:val="false"/>
      <w:spacing w:before="120" w:after="120"/>
      <w:jc w:val="right"/>
    </w:pPr>
    <w:rPr>
      <w:rFonts w:ascii="Palatino Linotype" w:hAnsi="Palatino Linotype"/>
      <w:color w:val="000000"/>
      <w:sz w:val="20"/>
      <w:lang w:eastAsia="de-DE"/>
    </w:rPr>
  </w:style>
  <w:style w:type="paragraph" w:styleId="MDPI42tablebody" w:customStyle="1">
    <w:name w:val="MDPI_4.2_table_body"/>
    <w:qFormat/>
    <w:rsid w:val="008637c2"/>
    <w:pPr>
      <w:widowControl/>
      <w:bidi w:val="0"/>
      <w:snapToGrid w:val="false"/>
      <w:spacing w:lineRule="atLeast" w:line="260" w:before="0" w:after="0"/>
      <w:jc w:val="center"/>
    </w:pPr>
    <w:rPr>
      <w:rFonts w:ascii="Palatino Linotype" w:hAnsi="Palatino Linotype" w:eastAsia="Times New Roman" w:cs="Times New Roman"/>
      <w:color w:val="000000"/>
      <w:kern w:val="0"/>
      <w:sz w:val="20"/>
      <w:szCs w:val="20"/>
      <w:lang w:eastAsia="de-DE" w:bidi="en-US" w:val="en-US"/>
    </w:rPr>
  </w:style>
  <w:style w:type="paragraph" w:styleId="p1a" w:customStyle="1">
    <w:name w:val="p1a"/>
    <w:basedOn w:val="Normal"/>
    <w:next w:val="Normal"/>
    <w:link w:val="p1aZchn"/>
    <w:qFormat/>
    <w:rsid w:val="00160cd5"/>
    <w:pPr>
      <w:widowControl/>
      <w:jc w:val="both"/>
    </w:pPr>
    <w:rPr>
      <w:rFonts w:ascii="Times" w:hAnsi="Times" w:eastAsia="Malgun Gothic"/>
      <w:sz w:val="20"/>
      <w:szCs w:val="20"/>
      <w:lang w:eastAsia="de-DE" w:bidi="ar-SA"/>
    </w:rPr>
  </w:style>
  <w:style w:type="paragraph" w:styleId="SV-JMEHeading1" w:customStyle="1">
    <w:name w:val="SV-JME Heading1"/>
    <w:basedOn w:val="Normal"/>
    <w:qFormat/>
    <w:rsid w:val="003933c7"/>
    <w:pPr>
      <w:widowControl/>
      <w:jc w:val="center"/>
    </w:pPr>
    <w:rPr>
      <w:rFonts w:ascii="Arial Narrow" w:hAnsi="Arial Narrow"/>
      <w:sz w:val="20"/>
      <w:szCs w:val="24"/>
      <w:lang w:eastAsia="sl-SI" w:bidi="ar-SA"/>
    </w:rPr>
  </w:style>
  <w:style w:type="paragraph" w:styleId="BodyText2">
    <w:name w:val="Body Text 2"/>
    <w:basedOn w:val="Normal"/>
    <w:link w:val="BodyText2Char"/>
    <w:uiPriority w:val="99"/>
    <w:semiHidden/>
    <w:unhideWhenUsed/>
    <w:qFormat/>
    <w:rsid w:val="00866cda"/>
    <w:pPr>
      <w:spacing w:lineRule="auto" w:line="480" w:before="0" w:after="120"/>
    </w:pPr>
    <w:rPr/>
  </w:style>
  <w:style w:type="paragraph" w:styleId="Style11" w:customStyle="1">
    <w:name w:val="Style1"/>
    <w:basedOn w:val="Normal"/>
    <w:qFormat/>
    <w:rsid w:val="008928a8"/>
    <w:pPr>
      <w:widowControl/>
      <w:spacing w:lineRule="auto" w:line="360"/>
      <w:jc w:val="both"/>
    </w:pPr>
    <w:rPr>
      <w:sz w:val="28"/>
      <w:szCs w:val="24"/>
      <w:lang w:bidi="ar-SA"/>
    </w:rPr>
  </w:style>
  <w:style w:type="paragraph" w:styleId="PARAGRAPH" w:customStyle="1">
    <w:name w:val="PARAGRAPH"/>
    <w:basedOn w:val="Normal"/>
    <w:qFormat/>
    <w:rsid w:val="006817a3"/>
    <w:pPr>
      <w:spacing w:lineRule="exact" w:line="230"/>
      <w:ind w:firstLine="240"/>
      <w:jc w:val="both"/>
    </w:pPr>
    <w:rPr>
      <w:rFonts w:ascii="Palatino" w:hAnsi="Palatino"/>
      <w:kern w:val="2"/>
      <w:sz w:val="19"/>
      <w:szCs w:val="20"/>
      <w:lang w:bidi="ar-SA"/>
    </w:rPr>
  </w:style>
  <w:style w:type="paragraph" w:styleId="Equation" w:customStyle="1">
    <w:name w:val="Equation"/>
    <w:basedOn w:val="Normal"/>
    <w:link w:val="EquationChar"/>
    <w:qFormat/>
    <w:rsid w:val="0021613a"/>
    <w:pPr>
      <w:widowControl/>
      <w:tabs>
        <w:tab w:val="left" w:pos="720" w:leader="none"/>
        <w:tab w:val="right" w:pos="7088" w:leader="none"/>
      </w:tabs>
      <w:spacing w:before="120" w:after="120"/>
      <w:jc w:val="both"/>
    </w:pPr>
    <w:rPr>
      <w:rFonts w:ascii="Calibri" w:hAnsi="Calibri" w:eastAsia="Calibri" w:cs="" w:asciiTheme="minorHAnsi" w:cstheme="minorBidi" w:eastAsiaTheme="minorHAnsi" w:hAnsiTheme="minorHAnsi"/>
      <w:lang w:bidi="ar-SA"/>
    </w:rPr>
  </w:style>
  <w:style w:type="paragraph" w:styleId="Text" w:customStyle="1">
    <w:name w:val="Text"/>
    <w:basedOn w:val="Normal"/>
    <w:link w:val="TextChar"/>
    <w:qFormat/>
    <w:rsid w:val="0021613a"/>
    <w:pPr>
      <w:widowControl/>
      <w:spacing w:lineRule="auto" w:line="360" w:before="0" w:after="240"/>
      <w:jc w:val="both"/>
    </w:pPr>
    <w:rPr>
      <w:rFonts w:ascii="Calibri" w:hAnsi="Calibri" w:eastAsia="Calibri" w:cs="" w:asciiTheme="minorHAnsi" w:cstheme="minorBidi" w:eastAsiaTheme="minorHAnsi" w:hAnsiTheme="minorHAnsi"/>
      <w:lang w:val="x-none" w:eastAsia="x-none" w:bidi="ar-SA"/>
    </w:rPr>
  </w:style>
  <w:style w:type="paragraph" w:styleId="07SubJudul" w:customStyle="1">
    <w:name w:val="07SubJudul"/>
    <w:basedOn w:val="Normal"/>
    <w:qFormat/>
    <w:rsid w:val="009d4df0"/>
    <w:pPr>
      <w:widowControl/>
    </w:pPr>
    <w:rPr>
      <w:rFonts w:eastAsia="Calibri"/>
      <w:b/>
      <w:sz w:val="24"/>
      <w:lang w:bidi="ar-SA"/>
    </w:rPr>
  </w:style>
  <w:style w:type="paragraph" w:styleId="BodyTextIndent">
    <w:name w:val="Body Text Indent"/>
    <w:basedOn w:val="Normal"/>
    <w:link w:val="BodyTextIndentChar"/>
    <w:uiPriority w:val="99"/>
    <w:semiHidden/>
    <w:unhideWhenUsed/>
    <w:rsid w:val="00a70ee9"/>
    <w:pPr>
      <w:spacing w:before="0" w:after="120"/>
      <w:ind w:left="360"/>
    </w:pPr>
    <w:rPr/>
  </w:style>
  <w:style w:type="paragraph" w:styleId="Normal1" w:customStyle="1">
    <w:name w:val="Normal1"/>
    <w:qFormat/>
    <w:rsid w:val="00505928"/>
    <w:pPr>
      <w:widowControl/>
      <w:bidi w:val="0"/>
      <w:spacing w:lineRule="auto" w:line="254" w:beforeAutospacing="1" w:after="160"/>
      <w:jc w:val="left"/>
    </w:pPr>
    <w:rPr>
      <w:rFonts w:ascii="Calibri" w:hAnsi="Calibri" w:eastAsia="Times New Roman" w:cs="Arial" w:asciiTheme="minorHAnsi" w:hAnsiTheme="minorHAnsi"/>
      <w:color w:val="auto"/>
      <w:kern w:val="0"/>
      <w:sz w:val="22"/>
      <w:szCs w:val="22"/>
      <w:lang w:val="en-US" w:eastAsia="en-US" w:bidi="ar-SA"/>
    </w:rPr>
  </w:style>
  <w:style w:type="paragraph" w:styleId="BodyTextIndent2">
    <w:name w:val="Body Text Indent 2"/>
    <w:basedOn w:val="Normal"/>
    <w:link w:val="BodyTextIndent2Char"/>
    <w:uiPriority w:val="99"/>
    <w:semiHidden/>
    <w:unhideWhenUsed/>
    <w:qFormat/>
    <w:rsid w:val="004259e3"/>
    <w:pPr>
      <w:widowControl/>
      <w:spacing w:lineRule="auto" w:line="480" w:before="0" w:after="120"/>
      <w:ind w:left="360"/>
    </w:pPr>
    <w:rPr>
      <w:rFonts w:ascii="Calibri" w:hAnsi="Calibri" w:eastAsia="Calibri" w:cs="" w:asciiTheme="minorHAnsi" w:cstheme="minorBidi" w:eastAsiaTheme="minorHAnsi" w:hAnsiTheme="minorHAnsi"/>
      <w:lang w:bidi="ar-SA"/>
    </w:rPr>
  </w:style>
  <w:style w:type="paragraph" w:styleId="p1" w:customStyle="1">
    <w:name w:val="p1"/>
    <w:basedOn w:val="Normal"/>
    <w:qFormat/>
    <w:rsid w:val="0004573b"/>
    <w:pPr>
      <w:widowControl/>
      <w:spacing w:lineRule="auto" w:line="259" w:before="0" w:after="160"/>
    </w:pPr>
    <w:rPr>
      <w:rFonts w:ascii=".AppleSystemUIFont" w:hAnsi=".AppleSystemUIFont" w:eastAsia="" w:eastAsiaTheme="minorEastAsia"/>
      <w:sz w:val="30"/>
      <w:szCs w:val="30"/>
      <w:lang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qFormat/>
    <w:rsid w:val="003c5503"/>
    <w:pPr>
      <w:jc w:val="right"/>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Grid-Accent2">
    <w:name w:val="Light Grid Accent 2"/>
    <w:basedOn w:val="TableNormal"/>
    <w:uiPriority w:val="62"/>
    <w:semiHidden/>
    <w:unhideWhenUsed/>
    <w:rsid w:val="008a4392"/>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Lines="0" w:afterLines="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Lines="0" w:afterLines="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customStyle="1" w:styleId="TableGridLight1">
    <w:name w:val="Table Grid Light1"/>
    <w:basedOn w:val="TableNormal"/>
    <w:uiPriority w:val="40"/>
    <w:rsid w:val="009b359d"/>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Grid1">
    <w:name w:val="Table Grid1"/>
    <w:basedOn w:val="TableNormal"/>
    <w:uiPriority w:val="59"/>
    <w:rsid w:val="00ab118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2-Accent1">
    <w:name w:val="Medium List 2 Accent 1"/>
    <w:basedOn w:val="TableNormal"/>
    <w:uiPriority w:val="66"/>
    <w:unhideWhenUsed/>
    <w:rsid w:val="00657456"/>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31">
    <w:name w:val="Plain Table 31"/>
    <w:basedOn w:val="TableNormal"/>
    <w:uiPriority w:val="43"/>
    <w:rsid w:val="00103101"/>
    <w:rPr>
      <w:lang w:val="en-IN"/>
    </w:r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ea6330"/>
    <w:rPr>
      <w:lang w:val="en-IN"/>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unhideWhenUsed/>
    <w:rsid w:val="00fe2dca"/>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beforeLines="0" w:after="0" w:afterLines="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beforeLines="0" w:after="0" w:afterLines="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d675e2"/>
    <w:rPr>
      <w:rFonts w:eastAsiaTheme="minorEastAsia"/>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0f24a1"/>
    <w:rPr>
      <w:rFonts w:eastAsiaTheme="minorEastAsia"/>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PlainTable2">
    <w:name w:val="Plain Table 2"/>
    <w:basedOn w:val="TableNormal"/>
    <w:uiPriority w:val="42"/>
    <w:rsid w:val="0008032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LightList-Accent1">
    <w:name w:val="Light List Accent 1"/>
    <w:basedOn w:val="TableNormal"/>
    <w:uiPriority w:val="61"/>
    <w:rsid w:val="000f441a"/>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TableGrid5">
    <w:name w:val="Table Grid5"/>
    <w:basedOn w:val="TableNormal"/>
    <w:uiPriority w:val="39"/>
    <w:rsid w:val="000b13c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d621fd"/>
    <w:rPr>
      <w:lang w:bidi="bo-CN"/>
      <w:szCs w:val="32"/>
    </w:r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Accent2">
    <w:name w:val="Light Shading Accent 2"/>
    <w:basedOn w:val="TableNormal"/>
    <w:uiPriority w:val="60"/>
    <w:rsid w:val="00d621fd"/>
    <w:rPr>
      <w:lang w:bidi="bo-CN"/>
      <w:color w:themeColor="accent2" w:themeShade="bf"/>
      <w:szCs w:val="32"/>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Table2">
    <w:name w:val="List Table 2"/>
    <w:basedOn w:val="TableNormal"/>
    <w:uiPriority w:val="47"/>
    <w:rsid w:val="008e762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36c27"/>
    <w:rPr>
      <w:lang w:val="id-ID"/>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GridTable5Dark-Accent3">
    <w:name w:val="Grid Table 5 Dark Accent 3"/>
    <w:basedOn w:val="TableNormal"/>
    <w:uiPriority w:val="50"/>
    <w:rsid w:val="002d2a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Grid2">
    <w:name w:val="Table Grid2"/>
    <w:basedOn w:val="TableNormal"/>
    <w:rsid w:val="0022528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
    <w:name w:val="Table Grid3"/>
    <w:basedOn w:val="TableNormal"/>
    <w:uiPriority w:val="39"/>
    <w:rsid w:val="0087525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d468a5"/>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493c14"/>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GridTable4">
    <w:name w:val="Grid Table 4"/>
    <w:basedOn w:val="TableNormal"/>
    <w:uiPriority w:val="49"/>
    <w:rsid w:val="00f00e9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e730b5"/>
    <w:rPr>
      <w:sz w:val="20"/>
      <w:szCs w:val="2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Liste6Couleur1">
    <w:name w:val="Tableau Liste 6 Couleur1"/>
    <w:basedOn w:val="TableNormal"/>
    <w:uiPriority w:val="51"/>
    <w:rsid w:val="00f62188"/>
    <w:rPr>
      <w:lang w:val="en"/>
      <w:color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c30312"/>
    <w:rPr>
      <w:color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
    <w:name w:val="شبكة جدول5"/>
    <w:basedOn w:val="TableNormal"/>
    <w:uiPriority w:val="39"/>
    <w:rsid w:val="00ae7aee"/>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1">
    <w:name w:val="Table Normal1"/>
    <w:uiPriority w:val="2"/>
    <w:semiHidden/>
    <w:unhideWhenUsed/>
    <w:qFormat/>
    <w:rsid w:val="00507dad"/>
    <w:tblPr>
      <w:tblCellMar>
        <w:top w:w="0" w:type="dxa"/>
        <w:left w:w="0" w:type="dxa"/>
        <w:bottom w:w="0" w:type="dxa"/>
        <w:right w:w="0" w:type="dxa"/>
      </w:tblCellMar>
    </w:tblPr>
  </w:style>
  <w:style w:type="table" w:customStyle="1" w:styleId="GridTable1Light-Accent51">
    <w:name w:val="Grid Table 1 Light - Accent 51"/>
    <w:basedOn w:val="TableNormal"/>
    <w:uiPriority w:val="46"/>
    <w:rsid w:val="009a708c"/>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sz="12" w:space="0"/>
        </w:tcBorders>
      </w:tcPr>
    </w:tblStylePr>
    <w:tblStylePr w:type="lastRow">
      <w:rPr>
        <w:b/>
        <w:bCs/>
      </w:rPr>
      <w:tblPr/>
      <w:tcPr>
        <w:tcBorders>
          <w:top w:val="double" w:color="92CDDC" w:themeColor="accent5" w:sz="2" w:space="0"/>
        </w:tcBorders>
      </w:tcPr>
    </w:tblStylePr>
    <w:tblStylePr w:type="firstCol">
      <w:rPr>
        <w:b/>
        <w:bCs/>
      </w:rPr>
      <w:tblPr/>
    </w:tblStylePr>
    <w:tblStylePr w:type="lastCol">
      <w:rPr>
        <w:b/>
        <w:bCs/>
      </w:rPr>
      <w:tblPr/>
    </w:tblStylePr>
  </w:style>
  <w:style w:type="table" w:customStyle="1" w:styleId="TableNormal2">
    <w:name w:val="Table Normal2"/>
    <w:uiPriority w:val="2"/>
    <w:semiHidden/>
    <w:qFormat/>
    <w:rsid w:val="00de754e"/>
    <w:rPr>
      <w:lang w:val="en-GB"/>
    </w:rPr>
    <w:tblPr>
      <w:tblCellMar>
        <w:top w:w="0" w:type="dxa"/>
        <w:left w:w="0" w:type="dxa"/>
        <w:bottom w:w="0" w:type="dxa"/>
        <w:right w:w="0" w:type="dxa"/>
      </w:tblCellMar>
    </w:tblPr>
  </w:style>
  <w:style w:type="table" w:customStyle="1" w:styleId="TableNormal4">
    <w:name w:val="Table Normal4"/>
    <w:uiPriority w:val="2"/>
    <w:semiHidden/>
    <w:qFormat/>
    <w:rsid w:val="004a29a8"/>
    <w:rPr>
      <w:lang w:val="en-GB"/>
    </w:rPr>
    <w:tblPr>
      <w:tblCellMar>
        <w:top w:w="0" w:type="dxa"/>
        <w:left w:w="0" w:type="dxa"/>
        <w:bottom w:w="0" w:type="dxa"/>
        <w:right w:w="0" w:type="dxa"/>
      </w:tblCellMar>
    </w:tblPr>
  </w:style>
  <w:style w:type="table" w:customStyle="1" w:styleId="TableNormal5">
    <w:name w:val="Table Normal5"/>
    <w:uiPriority w:val="2"/>
    <w:semiHidden/>
    <w:qFormat/>
    <w:rsid w:val="007741c5"/>
    <w:rPr>
      <w:lang w:val="en-GB"/>
    </w:rPr>
    <w:tblPr>
      <w:tblCellMar>
        <w:top w:w="0" w:type="dxa"/>
        <w:left w:w="0" w:type="dxa"/>
        <w:bottom w:w="0" w:type="dxa"/>
        <w:right w:w="0" w:type="dxa"/>
      </w:tblCellMar>
    </w:tblPr>
  </w:style>
  <w:style w:type="table" w:customStyle="1" w:styleId="TableNormal6">
    <w:name w:val="Table Normal6"/>
    <w:uiPriority w:val="2"/>
    <w:semiHidden/>
    <w:qFormat/>
    <w:rsid w:val="000f67e4"/>
    <w:rPr>
      <w:lang w:val="en-GB"/>
    </w:rPr>
    <w:tblPr>
      <w:tblCellMar>
        <w:top w:w="0" w:type="dxa"/>
        <w:left w:w="0" w:type="dxa"/>
        <w:bottom w:w="0" w:type="dxa"/>
        <w:right w:w="0" w:type="dxa"/>
      </w:tblCellMar>
    </w:tblPr>
  </w:style>
  <w:style w:type="table" w:customStyle="1" w:styleId="TableNormal7">
    <w:name w:val="Table Normal7"/>
    <w:uiPriority w:val="2"/>
    <w:semiHidden/>
    <w:qFormat/>
    <w:rsid w:val="00d03054"/>
    <w:rPr>
      <w:lang w:val="en-GB"/>
    </w:rPr>
    <w:tblPr>
      <w:tblCellMar>
        <w:top w:w="0" w:type="dxa"/>
        <w:left w:w="0" w:type="dxa"/>
        <w:bottom w:w="0" w:type="dxa"/>
        <w:right w:w="0" w:type="dxa"/>
      </w:tblCellMar>
    </w:tblPr>
  </w:style>
  <w:style w:type="table" w:customStyle="1" w:styleId="TableNormal8">
    <w:name w:val="Table Normal8"/>
    <w:uiPriority w:val="2"/>
    <w:semiHidden/>
    <w:qFormat/>
    <w:rsid w:val="00f156df"/>
    <w:rPr>
      <w:lang w:val="en-GB"/>
    </w:rPr>
    <w:tblPr>
      <w:tblCellMar>
        <w:top w:w="0" w:type="dxa"/>
        <w:left w:w="0" w:type="dxa"/>
        <w:bottom w:w="0" w:type="dxa"/>
        <w:right w:w="0" w:type="dxa"/>
      </w:tblCellMar>
    </w:tblPr>
  </w:style>
  <w:style w:type="table" w:customStyle="1" w:styleId="TableNormal9">
    <w:name w:val="Table Normal9"/>
    <w:uiPriority w:val="2"/>
    <w:semiHidden/>
    <w:qFormat/>
    <w:rsid w:val="00b356b7"/>
    <w:rPr>
      <w:lang w:val="en-GB"/>
    </w:rPr>
    <w:tblPr>
      <w:tblCellMar>
        <w:top w:w="0" w:type="dxa"/>
        <w:left w:w="0" w:type="dxa"/>
        <w:bottom w:w="0" w:type="dxa"/>
        <w:right w:w="0" w:type="dxa"/>
      </w:tblCellMar>
    </w:tblPr>
  </w:style>
  <w:style w:type="table" w:customStyle="1" w:styleId="TableNormal10">
    <w:name w:val="Table Normal10"/>
    <w:uiPriority w:val="2"/>
    <w:semiHidden/>
    <w:qFormat/>
    <w:rsid w:val="001d3671"/>
    <w:rPr>
      <w:lang w:val="en-GB"/>
    </w:rPr>
    <w:tblPr>
      <w:tblCellMar>
        <w:top w:w="0" w:type="dxa"/>
        <w:left w:w="0" w:type="dxa"/>
        <w:bottom w:w="0" w:type="dxa"/>
        <w:right w:w="0" w:type="dxa"/>
      </w:tblCellMar>
    </w:tblPr>
  </w:style>
  <w:style w:type="table" w:customStyle="1" w:styleId="1">
    <w:name w:val="شبكة جدول1"/>
    <w:basedOn w:val="TableNormal"/>
    <w:uiPriority w:val="39"/>
    <w:rsid w:val="006e3b29"/>
    <w:rPr>
      <w:lang w:val="en-GB"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جدول عادي 21"/>
    <w:basedOn w:val="TableNormal"/>
    <w:uiPriority w:val="42"/>
    <w:rsid w:val="0073578e"/>
    <w:pPr>
      <w:jc w:val="left"/>
    </w:pPr>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Pr/>
    </w:tblStylePr>
    <w:tblStylePr w:type="lastCol">
      <w:rPr>
        <w:b/>
        <w:bCs/>
      </w:rPr>
      <w:tbl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customStyle="1" w:styleId="TableGrid4">
    <w:name w:val="Table Grid4"/>
    <w:basedOn w:val="TableNormal"/>
    <w:uiPriority w:val="59"/>
    <w:rsid w:val="00900e0a"/>
    <w:pPr>
      <w:jc w:val="both"/>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قائمة فاتحة - تمييز 51"/>
    <w:basedOn w:val="TableNormal"/>
    <w:uiPriority w:val="61"/>
    <w:rsid w:val="00740596"/>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Pr/>
    </w:tblStylePr>
    <w:tblStylePr w:type="lastCol">
      <w:rPr>
        <w:b/>
        <w:bCs/>
      </w:rPr>
      <w:tbl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5">
    <w:name w:val="Light List Accent 5"/>
    <w:basedOn w:val="TableNormal"/>
    <w:uiPriority w:val="61"/>
    <w:unhideWhenUsed/>
    <w:rsid w:val="00740596"/>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
    <w:name w:val="Light List"/>
    <w:basedOn w:val="TableNormal"/>
    <w:uiPriority w:val="61"/>
    <w:rsid w:val="00625cfa"/>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52">
    <w:name w:val="قائمة فاتحة - تمييز 52"/>
    <w:basedOn w:val="TableNormal"/>
    <w:uiPriority w:val="61"/>
    <w:rsid w:val="0004193a"/>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Pr/>
    </w:tblStylePr>
    <w:tblStylePr w:type="lastCol">
      <w:rPr>
        <w:b/>
        <w:bCs/>
      </w:rPr>
      <w:tbl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customStyle="1" w:styleId="6">
    <w:name w:val="شبكة جدول6"/>
    <w:basedOn w:val="TableNormal"/>
    <w:uiPriority w:val="59"/>
    <w:rsid w:val="005d2c33"/>
    <w:pPr>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شبكة جدول7"/>
    <w:basedOn w:val="TableNormal"/>
    <w:uiPriority w:val="59"/>
    <w:rsid w:val="00840c82"/>
    <w:pPr>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شبكة جدول8"/>
    <w:basedOn w:val="TableNormal"/>
    <w:uiPriority w:val="59"/>
    <w:rsid w:val="0035591c"/>
    <w:pPr>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شبكة جدول9"/>
    <w:basedOn w:val="TableNormal"/>
    <w:uiPriority w:val="59"/>
    <w:rsid w:val="00200452"/>
    <w:pPr>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شبكة جدول4"/>
    <w:basedOn w:val="TableNormal"/>
    <w:uiPriority w:val="59"/>
    <w:rsid w:val="00c6571d"/>
    <w:pPr>
      <w:jc w:val="both"/>
    </w:pPr>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3-Accent1">
    <w:name w:val="Medium Grid 3 Accent 1"/>
    <w:basedOn w:val="TableNormal"/>
    <w:uiPriority w:val="69"/>
    <w:rsid w:val="007d1ee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customStyle="1" w:styleId="TableGrid6">
    <w:name w:val="Table Grid6"/>
    <w:basedOn w:val="TableNormal"/>
    <w:uiPriority w:val="39"/>
    <w:rsid w:val="00451303"/>
    <w:pPr>
      <w:jc w:val="left"/>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1">
    <w:name w:val="Table Grid21"/>
    <w:basedOn w:val="TableNormal"/>
    <w:uiPriority w:val="39"/>
    <w:rsid w:val="00be237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2">
    <w:name w:val="Table Grid22"/>
    <w:basedOn w:val="TableNormal"/>
    <w:uiPriority w:val="39"/>
    <w:rsid w:val="00942b1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شبكة فاتحة1"/>
    <w:basedOn w:val="TableNormal"/>
    <w:uiPriority w:val="62"/>
    <w:rsid w:val="00107d3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customStyle="1" w:styleId="51">
    <w:name w:val="شبكة جدول51"/>
    <w:basedOn w:val="TableNormal"/>
    <w:uiPriority w:val="39"/>
    <w:rsid w:val="00823254"/>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
    <w:name w:val="شبكة جدول52"/>
    <w:basedOn w:val="TableNormal"/>
    <w:uiPriority w:val="39"/>
    <w:rsid w:val="00156a24"/>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
    <w:name w:val="شبكة جدول53"/>
    <w:basedOn w:val="TableNormal"/>
    <w:uiPriority w:val="39"/>
    <w:rsid w:val="00002040"/>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MediumShading2">
    <w:name w:val="Medium Shading 2"/>
    <w:basedOn w:val="TableNormal"/>
    <w:uiPriority w:val="64"/>
    <w:rsid w:val="004f5c8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customStyle="1" w:styleId="TableGrid7">
    <w:name w:val="Table Grid7"/>
    <w:basedOn w:val="TableNormal"/>
    <w:uiPriority w:val="59"/>
    <w:rsid w:val="00bf6c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hyperlink" Target="https://www.skmtok.com/" TargetMode="External"/><Relationship Id="rId2" Type="http://schemas.openxmlformats.org/officeDocument/2006/relationships/hyperlink" Target="https://www.skmtok.com/" TargetMode="Externa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Als20</b:Tag>
    <b:SourceType>JournalArticle</b:SourceType>
    <b:Guid>{670D6BD1-D167-4B98-9BDD-FF32A67B9C0E}</b:Guid>
    <b:Author>
      <b:Author>
        <b:NameList>
          <b:Person>
            <b:Last>Alsuhaibani</b:Last>
            <b:First>Ray</b:First>
          </b:Person>
          <b:Person>
            <b:Last>Alsuhaibani</b:Last>
            <b:First>Mohammed</b:First>
          </b:Person>
        </b:NameList>
      </b:Author>
    </b:Author>
    <b:Title>Self-Medication Among Saudi Children by Parents in A-Qassim Region, Saudi Arabia</b:Title>
    <b:Year>2020</b:Year>
    <b:JournalName>Majmaah Journal of Health Sciences</b:JournalName>
    <b:Pages>53-64</b:Pages>
    <b:Volume>8</b:Volume>
    <b:Issue>1</b:Issue>
    <b:RefOrder>5</b:RefOrder>
  </b:Source>
  <b:Source>
    <b:Tag>Pot18</b:Tag>
    <b:SourceType>JournalArticle</b:SourceType>
    <b:Guid>{21108F5B-16E3-464C-9D2E-C21239E82BC5}</b:Guid>
    <b:Title>Self-Medication Among Children Under 15 Years, At the Teaching Hospitals of Lomé, Togo</b:Title>
    <b:JournalName>Journal of Pharmaceutical and Pharmacological Sciences</b:JournalName>
    <b:Year>2018</b:Year>
    <b:Pages>1-6</b:Pages>
    <b:Author>
      <b:Author>
        <b:NameList>
          <b:Person>
            <b:Last>Potchoo</b:Last>
            <b:First>Yao</b:First>
          </b:Person>
          <b:Person>
            <b:Last>Awizoba</b:Last>
            <b:First>Anéwédom</b:First>
          </b:Person>
        </b:NameList>
      </b:Author>
    </b:Author>
    <b:Volume>2018</b:Volume>
    <b:Issue>2</b:Issue>
    <b:RefOrder>1</b:RefOrder>
  </b:Source>
  <b:Source>
    <b:Tag>Alk17</b:Tag>
    <b:SourceType>JournalArticle</b:SourceType>
    <b:Guid>{FB5D263B-3867-4792-A2CE-5FD182743E1E}</b:Guid>
    <b:Title>Prevalence of Parental Self Medication and its Possible Effect to Their Children in Al-Madinah, Kingdom of Saudi Arabia</b:Title>
    <b:JournalName>International Journal of Advanced Research</b:JournalName>
    <b:Year>2017</b:Year>
    <b:Pages>1699-1707</b:Pages>
    <b:Author>
      <b:Author>
        <b:NameList>
          <b:Person>
            <b:Last>Alkhayat</b:Last>
            <b:First>Mahmoud</b:First>
          </b:Person>
          <b:Person>
            <b:Last>Albouq</b:Last>
            <b:First>Nisreen</b:First>
          </b:Person>
          <b:Person>
            <b:Last>Osailan</b:Last>
            <b:First>Abdulaziz</b:First>
          </b:Person>
          <b:Person>
            <b:Last>Alharbi</b:Last>
            <b:First>Hatem</b:First>
          </b:Person>
          <b:Person>
            <b:Last>Alharbi</b:Last>
            <b:First>Hind</b:First>
          </b:Person>
          <b:Person>
            <b:Last>Alharbi</b:Last>
            <b:First>Rayan</b:First>
          </b:Person>
        </b:NameList>
      </b:Author>
    </b:Author>
    <b:Volume>5</b:Volume>
    <b:Issue>1</b:Issue>
    <b:RefOrder>2</b:RefOrder>
  </b:Source>
  <b:Source>
    <b:Tag>Cri18</b:Tag>
    <b:SourceType>JournalArticle</b:SourceType>
    <b:Guid>{D6F713FE-07C1-47C0-A7EE-8A2CE2A27697}</b:Guid>
    <b:Title>Study Regarding the Parents' Use of Self-Medication Among Children Under 12 Years Old</b:Title>
    <b:JournalName>Farmacia</b:JournalName>
    <b:Year>2018</b:Year>
    <b:Pages>811-819</b:Pages>
    <b:Author>
      <b:Author>
        <b:NameList>
          <b:Person>
            <b:Last>Cristecu</b:Last>
            <b:First>Carmen</b:First>
          </b:Person>
          <b:Person>
            <b:Last>Negres</b:Last>
            <b:First>Simona</b:First>
          </b:Person>
          <b:Person>
            <b:Last>Suciu</b:Last>
            <b:First>Maria</b:First>
          </b:Person>
          <b:Person>
            <b:Last>Voicu</b:Last>
            <b:First>Adrian</b:First>
          </b:Person>
          <b:Person>
            <b:Last>Buda</b:Last>
            <b:First>Valentina</b:First>
          </b:Person>
          <b:Person>
            <b:Last>Suciu</b:Last>
            <b:First>Liana</b:First>
          </b:Person>
          <b:Person>
            <b:Last>Proks</b:Last>
            <b:First>Maria</b:First>
          </b:Person>
          <b:Person>
            <b:Last>Voicu</b:Last>
            <b:First>Mirela</b:First>
          </b:Person>
        </b:NameList>
      </b:Author>
    </b:Author>
    <b:Volume>66</b:Volume>
    <b:Issue>5</b:Issue>
    <b:RefOrder>3</b:RefOrder>
  </b:Source>
  <b:Source>
    <b:Tag>Alh17</b:Tag>
    <b:SourceType>JournalArticle</b:SourceType>
    <b:Guid>{56C5FB52-6A35-40CA-8F46-7725DDEF4C77}</b:Guid>
    <b:Title>Self-medication and self-prescription with antibiotics in the Middle East—do they really happen? A systematic review of the prevalence, possible reasons, and outcomes</b:Title>
    <b:JournalName>International Journal of Infectious Diseases</b:JournalName>
    <b:Year>2017</b:Year>
    <b:Pages>3-12</b:Pages>
    <b:Author>
      <b:Author>
        <b:NameList>
          <b:Person>
            <b:Last>Alhomoud</b:Last>
            <b:First>Faten</b:First>
          </b:Person>
          <b:Person>
            <b:Last>Aljamea</b:Last>
            <b:First>Zainab</b:First>
          </b:Person>
          <b:Person>
            <b:Last>Almahasnah</b:Last>
            <b:First>Reem</b:First>
          </b:Person>
          <b:Person>
            <b:Last>Alkhalifah</b:Last>
            <b:First>Khawlah</b:First>
          </b:Person>
          <b:Person>
            <b:Last>Basalelah</b:Last>
            <b:First>Lama</b:First>
          </b:Person>
          <b:Person>
            <b:Last>Alhomoud</b:Last>
            <b:Middle>Kais</b:Middle>
            <b:First>Farah</b:First>
          </b:Person>
        </b:NameList>
      </b:Author>
    </b:Author>
    <b:Volume>57</b:Volume>
    <b:RefOrder>4</b:RefOrder>
  </b:Source>
  <b:Source>
    <b:Tag>Ste94</b:Tag>
    <b:SourceType>BookSection</b:SourceType>
    <b:Guid>{7B5D605F-A90A-4213-94F0-096B35EF2302}</b:Guid>
    <b:Author>
      <b:Author>
        <b:NameList>
          <b:Person>
            <b:Last>Steveson</b:Last>
            <b:First>J.</b:First>
            <b:Middle>J. Grainger and W. D.</b:Middle>
          </b:Person>
        </b:NameList>
      </b:Author>
      <b:Editor>
        <b:NameList>
          <b:Person>
            <b:Last>Castellano</b:Last>
            <b:First>A.</b:First>
            <b:Middle>B. Akay and E.</b:Middle>
          </b:Person>
        </b:NameList>
      </b:Editor>
      <b:BookAuthor>
        <b:NameList>
          <b:Person>
            <b:Last>Steveson</b:Last>
            <b:First>J.</b:First>
            <b:Middle>J. Grainger and W. D.</b:Middle>
          </b:Person>
        </b:NameList>
      </b:BookAuthor>
    </b:Author>
    <b:Title>Basic Concepts</b:Title>
    <b:Year>1994</b:Year>
    <b:City>Singapore</b:City>
    <b:CountryRegion>Singapore</b:CountryRegion>
    <b:Publisher>McGraw-Hill Book Co.</b:Publisher>
    <b:BookTitle>Power System Analysis</b:BookTitle>
    <b:Pages>1-37</b:Pages>
    <b:ChapterNumber>1</b:ChapterNumber>
    <b:RefOrder>18</b:RefOrder>
  </b:Source>
  <b:Source>
    <b:Tag>TCM162</b:Tag>
    <b:SourceType>Report</b:SourceType>
    <b:Guid>{A87AE907-2D20-4652-B97D-396B4E4365AA}</b:Guid>
    <b:Author>
      <b:Author>
        <b:NameList>
          <b:Person>
            <b:Last>Madueme</b:Last>
            <b:First>T.</b:First>
            <b:Middle>C.</b:Middle>
          </b:Person>
        </b:NameList>
      </b:Author>
    </b:Author>
    <b:Title>Load Flow Equation</b:Title>
    <b:Year>2016</b:Year>
    <b:City>Enugu</b:City>
    <b:Institution>University of Nigeria, Nsukka</b:Institution>
    <b:ThesisType>Class Lecture note</b:ThesisType>
    <b:StandardNumber>EEE531</b:StandardNumber>
    <b:RefOrder>19</b:RefOrder>
  </b:Source>
</b:Sources>
</file>

<file path=customXml/itemProps1.xml><?xml version="1.0" encoding="utf-8"?>
<ds:datastoreItem xmlns:ds="http://schemas.openxmlformats.org/officeDocument/2006/customXml" ds:itemID="{A04CD76F-8816-4118-B518-3ACA8C3F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11789</TotalTime>
  <Application>LibreOffice/24.2.7.2$Linux_X86_64 LibreOffice_project/420$Build-2</Application>
  <AppVersion>15.0000</AppVersion>
  <Pages>5</Pages>
  <Words>2445</Words>
  <Characters>14333</Characters>
  <CharactersWithSpaces>16777</CharactersWithSpaces>
  <Paragraphs>50</Paragraphs>
  <Company>mnb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2020-02-24T08:45:00Z</dcterms:created>
  <dc:creator>ismail - [2010]</dc:creator>
  <dc:description/>
  <dc:language>en-US</dc:language>
  <cp:lastModifiedBy/>
  <cp:lastPrinted>2024-05-29T03:53:00Z</cp:lastPrinted>
  <dcterms:modified xsi:type="dcterms:W3CDTF">2025-03-04T14:18:56Z</dcterms:modified>
  <cp:revision>13635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Creator">
    <vt:lpwstr>Microsoft® Word 2016</vt:lpwstr>
  </property>
  <property fmtid="{D5CDD505-2E9C-101B-9397-08002B2CF9AE}" pid="4" name="LastSaved">
    <vt:filetime>2019-06-19T00:00:00Z</vt:filetime>
  </property>
</Properties>
</file>